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711" w:rsidRDefault="00EE20DA">
      <w:pPr>
        <w:pStyle w:val="ConsPlusNormal"/>
        <w:ind w:firstLine="567"/>
        <w:jc w:val="center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Комитет организации и контроля </w:t>
      </w:r>
      <w:r>
        <w:rPr>
          <w:rFonts w:ascii="PT Astra Serif" w:eastAsia="PT Astra Serif" w:hAnsi="PT Astra Serif" w:cs="PT Astra Serif"/>
          <w:sz w:val="26"/>
          <w:szCs w:val="26"/>
        </w:rPr>
        <w:t>градостроительной деятельности</w:t>
      </w:r>
    </w:p>
    <w:p w:rsidR="00613711" w:rsidRDefault="00EE20DA">
      <w:pPr>
        <w:pStyle w:val="ConsPlusNormal"/>
        <w:ind w:firstLine="567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>Департамента градостроительного развития Томской области</w:t>
      </w:r>
    </w:p>
    <w:p w:rsidR="00613711" w:rsidRDefault="00613711">
      <w:pPr>
        <w:pStyle w:val="ConsPlusNormal"/>
        <w:ind w:firstLine="567"/>
        <w:jc w:val="center"/>
        <w:rPr>
          <w:rFonts w:ascii="PT Astra Serif" w:hAnsi="PT Astra Serif"/>
          <w:sz w:val="26"/>
          <w:szCs w:val="26"/>
        </w:rPr>
      </w:pPr>
    </w:p>
    <w:p w:rsidR="00613711" w:rsidRDefault="00EE20DA">
      <w:pPr>
        <w:pStyle w:val="ConsPlusNormal"/>
        <w:ind w:firstLine="567"/>
        <w:jc w:val="center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Аналитическая записка по результатам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 осуществления мониторинга 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программ комплексного развития социальной инфраструктуры, выполняемого в соответствии </w:t>
      </w:r>
    </w:p>
    <w:p w:rsidR="00613711" w:rsidRDefault="00EE20DA">
      <w:pPr>
        <w:pStyle w:val="ConsPlusNormal"/>
        <w:ind w:firstLine="567"/>
        <w:jc w:val="center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 xml:space="preserve">со статьями 6.1, 8.1 Градостроительного кодекса Российской Федерации </w:t>
      </w:r>
    </w:p>
    <w:p w:rsidR="00613711" w:rsidRDefault="00EE20DA">
      <w:pPr>
        <w:spacing w:before="0"/>
        <w:ind w:firstLine="567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(по состоянию на 2 полугодие </w:t>
      </w:r>
      <w:bookmarkStart w:id="0" w:name="_GoBack"/>
      <w:bookmarkEnd w:id="0"/>
      <w:r>
        <w:rPr>
          <w:rFonts w:ascii="PT Astra Serif" w:hAnsi="PT Astra Serif"/>
          <w:sz w:val="26"/>
          <w:szCs w:val="26"/>
        </w:rPr>
        <w:t>2025)</w:t>
      </w:r>
    </w:p>
    <w:p w:rsidR="00613711" w:rsidRDefault="00613711">
      <w:pPr>
        <w:spacing w:before="0"/>
        <w:rPr>
          <w:rFonts w:ascii="PT Astra Serif" w:hAnsi="PT Astra Serif"/>
          <w:sz w:val="26"/>
          <w:szCs w:val="26"/>
        </w:rPr>
      </w:pP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Общие сведения. </w:t>
      </w:r>
      <w:r>
        <w:rPr>
          <w:rFonts w:ascii="PT Astra Serif" w:hAnsi="PT Astra Serif"/>
          <w:sz w:val="26"/>
          <w:szCs w:val="26"/>
        </w:rPr>
        <w:t xml:space="preserve">В соответствии со статьей 26 </w:t>
      </w:r>
      <w:proofErr w:type="spellStart"/>
      <w:r>
        <w:rPr>
          <w:rFonts w:ascii="PT Astra Serif" w:hAnsi="PT Astra Serif"/>
          <w:sz w:val="26"/>
          <w:szCs w:val="26"/>
        </w:rPr>
        <w:t>ГрК</w:t>
      </w:r>
      <w:proofErr w:type="spellEnd"/>
      <w:r>
        <w:rPr>
          <w:rFonts w:ascii="PT Astra Serif" w:hAnsi="PT Astra Serif"/>
          <w:sz w:val="26"/>
          <w:szCs w:val="26"/>
        </w:rPr>
        <w:t xml:space="preserve"> РФ установлена необх</w:t>
      </w:r>
      <w:r>
        <w:rPr>
          <w:rFonts w:ascii="PT Astra Serif" w:hAnsi="PT Astra Serif"/>
          <w:sz w:val="26"/>
          <w:szCs w:val="26"/>
        </w:rPr>
        <w:t xml:space="preserve">одимость наличия программ комплексного развития систем коммунальной инфраструктуры, программ комплексного развития транспортной инфраструктуры и программы комплексного развития социальной инфраструктуры. </w:t>
      </w:r>
      <w:r>
        <w:rPr>
          <w:rFonts w:ascii="PT Astra Serif" w:hAnsi="PT Astra Serif" w:cs="PT Astra Serif"/>
          <w:sz w:val="26"/>
          <w:szCs w:val="26"/>
        </w:rPr>
        <w:t xml:space="preserve">Программы комплексного развития </w:t>
      </w:r>
      <w:r>
        <w:rPr>
          <w:rFonts w:ascii="PT Astra Serif" w:hAnsi="PT Astra Serif"/>
          <w:sz w:val="26"/>
          <w:szCs w:val="26"/>
        </w:rPr>
        <w:t>разрабатываются орга</w:t>
      </w:r>
      <w:r>
        <w:rPr>
          <w:rFonts w:ascii="PT Astra Serif" w:hAnsi="PT Astra Serif"/>
          <w:sz w:val="26"/>
          <w:szCs w:val="26"/>
        </w:rPr>
        <w:t>нами местного самоуправления поселения, городского округа и подлежат утверждению в шестимесячный срок с даты утверждения генеральных планов. Они должны обеспечивать сбалансированное, перспективное развитие систем коммунальной инфраструктуры, транспортной и</w:t>
      </w:r>
      <w:r>
        <w:rPr>
          <w:rFonts w:ascii="PT Astra Serif" w:hAnsi="PT Astra Serif"/>
          <w:sz w:val="26"/>
          <w:szCs w:val="26"/>
        </w:rPr>
        <w:t xml:space="preserve"> социальной инфраструктур в соответствии с потребностями в строительстве объектов. </w:t>
      </w:r>
    </w:p>
    <w:p w:rsidR="00613711" w:rsidRDefault="00EE20DA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 xml:space="preserve">В соответствии с пунктом 38-1 Положения о Департаменте градостроительного развития Томской области, утвержденного </w:t>
      </w:r>
      <w:r>
        <w:rPr>
          <w:rFonts w:ascii="PT Astra Serif" w:hAnsi="PT Astra Serif" w:cs="PT Astra Serif"/>
          <w:sz w:val="26"/>
          <w:szCs w:val="26"/>
        </w:rPr>
        <w:t>постановлением Губернатора Томской области от 04.02.2022 №</w:t>
      </w:r>
      <w:r>
        <w:rPr>
          <w:rFonts w:ascii="PT Astra Serif" w:hAnsi="PT Astra Serif" w:cs="PT Astra Serif"/>
          <w:sz w:val="26"/>
          <w:szCs w:val="26"/>
        </w:rPr>
        <w:t xml:space="preserve"> 6, 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Департамент является уполномоченным органом, </w:t>
      </w:r>
      <w:r>
        <w:rPr>
          <w:rFonts w:ascii="PT Astra Serif" w:hAnsi="PT Astra Serif" w:cs="PT Astra Serif"/>
          <w:sz w:val="26"/>
          <w:szCs w:val="26"/>
        </w:rPr>
        <w:t>осуществляющим мониторинг разработки и утверждения органами местного самоуправления муниципальных образований Томской области программ комплексного развития социальной инфраструктуры поселений, муниципальных</w:t>
      </w:r>
      <w:r>
        <w:rPr>
          <w:rFonts w:ascii="PT Astra Serif" w:hAnsi="PT Astra Serif" w:cs="PT Astra Serif"/>
          <w:sz w:val="26"/>
          <w:szCs w:val="26"/>
        </w:rPr>
        <w:t xml:space="preserve"> округов, городских округов (далее –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 Департамент, </w:t>
      </w:r>
      <w:r>
        <w:rPr>
          <w:rFonts w:ascii="PT Astra Serif" w:hAnsi="PT Astra Serif" w:cs="PT Astra Serif"/>
          <w:sz w:val="26"/>
          <w:szCs w:val="26"/>
        </w:rPr>
        <w:t>уполномоченный орган).</w:t>
      </w:r>
    </w:p>
    <w:p w:rsidR="00613711" w:rsidRDefault="00EE20DA">
      <w:pPr>
        <w:pStyle w:val="ConsPlusTitle"/>
        <w:ind w:firstLine="567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eastAsia="PT Astra Serif" w:hAnsi="PT Astra Serif" w:cs="PT Astra Serif"/>
          <w:b w:val="0"/>
          <w:sz w:val="26"/>
          <w:szCs w:val="26"/>
        </w:rPr>
        <w:t xml:space="preserve">В период с 01.07.2025 по 01.08.2025 Департаментом проведен мониторинг </w:t>
      </w:r>
      <w:r>
        <w:rPr>
          <w:rFonts w:ascii="PT Astra Serif" w:hAnsi="PT Astra Serif" w:cs="PT Astra Serif"/>
          <w:b w:val="0"/>
          <w:sz w:val="26"/>
          <w:szCs w:val="26"/>
        </w:rPr>
        <w:t>разработки и утверждения Программ комплексного развития социальной инфраструктуры (</w:t>
      </w:r>
      <w:r>
        <w:rPr>
          <w:rFonts w:ascii="PT Astra Serif" w:hAnsi="PT Astra Serif"/>
          <w:b w:val="0"/>
          <w:sz w:val="26"/>
          <w:szCs w:val="26"/>
        </w:rPr>
        <w:t>далее – Программа</w:t>
      </w:r>
      <w:r>
        <w:rPr>
          <w:rFonts w:ascii="PT Astra Serif" w:hAnsi="PT Astra Serif" w:cs="PT Astra Serif"/>
          <w:b w:val="0"/>
          <w:sz w:val="26"/>
          <w:szCs w:val="26"/>
        </w:rPr>
        <w:t>) в соответст</w:t>
      </w:r>
      <w:r>
        <w:rPr>
          <w:rFonts w:ascii="PT Astra Serif" w:hAnsi="PT Astra Serif" w:cs="PT Astra Serif"/>
          <w:b w:val="0"/>
          <w:sz w:val="26"/>
          <w:szCs w:val="26"/>
        </w:rPr>
        <w:t xml:space="preserve">вии с </w:t>
      </w:r>
      <w:r>
        <w:rPr>
          <w:rFonts w:ascii="PT Astra Serif" w:hAnsi="PT Astra Serif" w:cs="Segoe UI"/>
          <w:b w:val="0"/>
          <w:sz w:val="26"/>
          <w:szCs w:val="26"/>
          <w:shd w:val="clear" w:color="auto" w:fill="FFFFFF"/>
        </w:rPr>
        <w:t>приказом М</w:t>
      </w:r>
      <w:r>
        <w:rPr>
          <w:rFonts w:ascii="PT Astra Serif" w:hAnsi="PT Astra Serif" w:cs="PT Astra Serif"/>
          <w:b w:val="0"/>
          <w:sz w:val="26"/>
          <w:szCs w:val="26"/>
        </w:rPr>
        <w:t xml:space="preserve">инэкономразвития России </w:t>
      </w:r>
      <w:r>
        <w:rPr>
          <w:rFonts w:ascii="PT Astra Serif" w:hAnsi="PT Astra Serif" w:cs="Segoe UI"/>
          <w:b w:val="0"/>
          <w:sz w:val="26"/>
          <w:szCs w:val="26"/>
          <w:shd w:val="clear" w:color="auto" w:fill="FFFFFF"/>
        </w:rPr>
        <w:t>от 29.03.2016 № 181</w:t>
      </w:r>
      <w:r>
        <w:rPr>
          <w:rFonts w:ascii="PT Astra Serif" w:hAnsi="PT Astra Serif"/>
          <w:b w:val="0"/>
          <w:sz w:val="26"/>
          <w:szCs w:val="26"/>
        </w:rPr>
        <w:t xml:space="preserve"> «Об утверждении порядка осуществления мониторинга разработки и утверждения программ комплексного развития социальной инфраструктуры поселений, городских округов» (далее - </w:t>
      </w:r>
      <w:r>
        <w:rPr>
          <w:rFonts w:ascii="PT Astra Serif" w:hAnsi="PT Astra Serif" w:cs="Segoe UI"/>
          <w:b w:val="0"/>
          <w:sz w:val="26"/>
          <w:szCs w:val="26"/>
          <w:shd w:val="clear" w:color="auto" w:fill="FFFFFF"/>
        </w:rPr>
        <w:t>Приказ № 181</w:t>
      </w:r>
      <w:r>
        <w:rPr>
          <w:rFonts w:ascii="PT Astra Serif" w:hAnsi="PT Astra Serif"/>
          <w:b w:val="0"/>
          <w:sz w:val="26"/>
          <w:szCs w:val="26"/>
        </w:rPr>
        <w:t xml:space="preserve">) </w:t>
      </w:r>
      <w:r>
        <w:rPr>
          <w:rFonts w:ascii="PT Astra Serif" w:hAnsi="PT Astra Serif" w:cs="PT Astra Serif"/>
          <w:b w:val="0"/>
          <w:sz w:val="26"/>
          <w:szCs w:val="26"/>
        </w:rPr>
        <w:t>и постановл</w:t>
      </w:r>
      <w:r>
        <w:rPr>
          <w:rFonts w:ascii="PT Astra Serif" w:hAnsi="PT Astra Serif" w:cs="PT Astra Serif"/>
          <w:b w:val="0"/>
          <w:sz w:val="26"/>
          <w:szCs w:val="26"/>
        </w:rPr>
        <w:t>ением Правительства Российской Федерации от 01.10.2015 № 1050 «О</w:t>
      </w:r>
      <w:r>
        <w:rPr>
          <w:rFonts w:ascii="PT Astra Serif" w:hAnsi="PT Astra Serif"/>
          <w:b w:val="0"/>
          <w:sz w:val="26"/>
          <w:szCs w:val="26"/>
        </w:rPr>
        <w:t>б утверждении требований к программам комплексного развития социальной инфраструктуры поселений, муниципальных округов, городских округов</w:t>
      </w:r>
      <w:r>
        <w:rPr>
          <w:rFonts w:ascii="PT Astra Serif" w:hAnsi="PT Astra Serif" w:cs="PT Astra Serif"/>
          <w:b w:val="0"/>
          <w:sz w:val="26"/>
          <w:szCs w:val="26"/>
        </w:rPr>
        <w:t>» (</w:t>
      </w:r>
      <w:r>
        <w:rPr>
          <w:rFonts w:ascii="PT Astra Serif" w:hAnsi="PT Astra Serif"/>
          <w:b w:val="0"/>
          <w:sz w:val="26"/>
          <w:szCs w:val="26"/>
        </w:rPr>
        <w:t>далее –</w:t>
      </w:r>
      <w:r>
        <w:rPr>
          <w:rFonts w:ascii="PT Astra Serif" w:hAnsi="PT Astra Serif" w:cs="PT Astra Serif"/>
          <w:b w:val="0"/>
          <w:sz w:val="26"/>
          <w:szCs w:val="26"/>
        </w:rPr>
        <w:t xml:space="preserve"> Постановление № 1050).</w:t>
      </w:r>
    </w:p>
    <w:p w:rsidR="00613711" w:rsidRDefault="00EE20DA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>Мониторинг осуществля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лся в отношении </w:t>
      </w:r>
      <w:r>
        <w:rPr>
          <w:rFonts w:ascii="PT Astra Serif" w:hAnsi="PT Astra Serif"/>
          <w:sz w:val="26"/>
          <w:szCs w:val="26"/>
        </w:rPr>
        <w:t xml:space="preserve">119 муниципальных образований Томской области (3 городских округов, 1 муниципального округа, 3 городских поселений, 112 сельских поселений) 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путем проведения анализа текста </w:t>
      </w:r>
      <w:r>
        <w:rPr>
          <w:rFonts w:ascii="PT Astra Serif" w:hAnsi="PT Astra Serif" w:cs="PT Astra Serif"/>
          <w:sz w:val="26"/>
          <w:szCs w:val="26"/>
        </w:rPr>
        <w:t>Программ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, размещенных в 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Федеральной государственной информационной системе территориального планирования (ФГИС ТП) и на официальных сайтах органов местного самоуправления, ссылки на которые получены от органов местного самоуправления за 2 полугодие 2024 г. в рамках осуществления </w:t>
      </w:r>
      <w:r>
        <w:rPr>
          <w:rFonts w:ascii="PT Astra Serif" w:eastAsia="PT Astra Serif" w:hAnsi="PT Astra Serif" w:cs="PT Astra Serif"/>
          <w:sz w:val="26"/>
          <w:szCs w:val="26"/>
        </w:rPr>
        <w:t>мониторинга за соблюдением органами местного самоуправления законодательства о градостроительной деятельности.</w:t>
      </w:r>
    </w:p>
    <w:p w:rsidR="00613711" w:rsidRDefault="00EE20DA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Информация по состоянию за 2 полугодие 2024 года – 1 полугодие 2025 года.</w:t>
      </w:r>
      <w:r>
        <w:rPr>
          <w:rFonts w:ascii="PT Astra Serif" w:hAnsi="PT Astra Serif"/>
          <w:sz w:val="26"/>
          <w:szCs w:val="26"/>
        </w:rPr>
        <w:t xml:space="preserve"> По результатам мониторинга, проведенного в указанный период в </w:t>
      </w:r>
      <w:r>
        <w:rPr>
          <w:rFonts w:ascii="PT Astra Serif" w:eastAsia="PT Astra Serif" w:hAnsi="PT Astra Serif" w:cs="PT Astra Serif"/>
          <w:sz w:val="26"/>
          <w:szCs w:val="26"/>
        </w:rPr>
        <w:t>рамках ос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уществления мониторинга за соблюдением органами местного самоуправления законодательства о градостроительной деятельности, из </w:t>
      </w:r>
      <w:r>
        <w:rPr>
          <w:rFonts w:ascii="PT Astra Serif" w:hAnsi="PT Astra Serif"/>
          <w:sz w:val="26"/>
          <w:szCs w:val="26"/>
        </w:rPr>
        <w:t>119 муниципальных образований Томской области (далее - МО) Программы: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  разработаны и утверждены за 2 полугодие 2024 года в 87 МО</w:t>
      </w:r>
      <w:r>
        <w:rPr>
          <w:rFonts w:ascii="PT Astra Serif" w:hAnsi="PT Astra Serif"/>
          <w:sz w:val="26"/>
          <w:szCs w:val="26"/>
        </w:rPr>
        <w:t xml:space="preserve"> (73,1%), за 1 полугодие 2025 года в 92 МО (77,3%);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размещены во ФГИС ТП за 2 полугодие 2024 года в 61 МО (51,3%), за 1 полугодие 2025 года в 71 МО (59,7%);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размещены на официальных сайтах за 2 полугодие 2024 года в 86 МО (72,3%), за </w:t>
      </w:r>
      <w:r>
        <w:rPr>
          <w:rFonts w:ascii="PT Astra Serif" w:hAnsi="PT Astra Serif"/>
          <w:sz w:val="26"/>
          <w:szCs w:val="26"/>
        </w:rPr>
        <w:lastRenderedPageBreak/>
        <w:t>1 полугодие 2025 г</w:t>
      </w:r>
      <w:r>
        <w:rPr>
          <w:rFonts w:ascii="PT Astra Serif" w:hAnsi="PT Astra Serif"/>
          <w:sz w:val="26"/>
          <w:szCs w:val="26"/>
        </w:rPr>
        <w:t>ода 92 МО (77,3%);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не разработаны за 2 полугодие 2024 года в 32 МО (26,9%), за 1 полугодие 2025 года в 27 МО (22,7%).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Информация по состоянию на 2 полугодие 2025 года. </w:t>
      </w:r>
      <w:r>
        <w:rPr>
          <w:rFonts w:ascii="PT Astra Serif" w:hAnsi="PT Astra Serif"/>
          <w:sz w:val="26"/>
          <w:szCs w:val="26"/>
        </w:rPr>
        <w:t>Настоящий мониторинг Программ, осуществляемый в рамках полномочий Департамента, провед</w:t>
      </w:r>
      <w:r>
        <w:rPr>
          <w:rFonts w:ascii="PT Astra Serif" w:hAnsi="PT Astra Serif"/>
          <w:sz w:val="26"/>
          <w:szCs w:val="26"/>
        </w:rPr>
        <w:t xml:space="preserve">ен на определение динамики показателей по наличию и утверждению указанных документов в муниципальных образованиях Томской области, а также на их соответствие требованиям, установленным </w:t>
      </w:r>
      <w:r>
        <w:rPr>
          <w:rFonts w:ascii="PT Astra Serif" w:hAnsi="PT Astra Serif" w:cs="PT Astra Serif"/>
          <w:sz w:val="26"/>
          <w:szCs w:val="26"/>
        </w:rPr>
        <w:t>Постановлением № 1050.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>На начало мониторинга (</w:t>
      </w:r>
      <w:r>
        <w:rPr>
          <w:rFonts w:ascii="PT Astra Serif" w:hAnsi="PT Astra Serif"/>
          <w:sz w:val="26"/>
          <w:szCs w:val="26"/>
        </w:rPr>
        <w:t>за 1 полугодие 2025 года)</w:t>
      </w:r>
      <w:r>
        <w:rPr>
          <w:rFonts w:ascii="PT Astra Serif" w:hAnsi="PT Astra Serif" w:cs="PT Astra Serif"/>
          <w:sz w:val="26"/>
          <w:szCs w:val="26"/>
        </w:rPr>
        <w:t xml:space="preserve"> из 92 МО: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 xml:space="preserve">- </w:t>
      </w:r>
      <w:r>
        <w:rPr>
          <w:rFonts w:ascii="PT Astra Serif" w:hAnsi="PT Astra Serif"/>
          <w:sz w:val="26"/>
          <w:szCs w:val="26"/>
        </w:rPr>
        <w:t>в 59 МО</w:t>
      </w:r>
      <w:r>
        <w:rPr>
          <w:rFonts w:ascii="PT Astra Serif" w:hAnsi="PT Astra Serif" w:cs="PT Astra Serif"/>
          <w:sz w:val="26"/>
          <w:szCs w:val="26"/>
        </w:rPr>
        <w:t xml:space="preserve"> Программы</w:t>
      </w:r>
      <w:r>
        <w:rPr>
          <w:rFonts w:ascii="PT Astra Serif" w:hAnsi="PT Astra Serif"/>
          <w:sz w:val="26"/>
          <w:szCs w:val="26"/>
        </w:rPr>
        <w:t xml:space="preserve"> соответствовали установленным требованиям;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в 31 МО Программы не соответствовали требованиям по причине отсутствия в их составе необходимых разделов, установленных </w:t>
      </w:r>
      <w:r>
        <w:rPr>
          <w:rFonts w:ascii="PT Astra Serif" w:hAnsi="PT Astra Serif" w:cs="PT Astra Serif"/>
          <w:sz w:val="26"/>
          <w:szCs w:val="26"/>
        </w:rPr>
        <w:t xml:space="preserve">Постановлением № 1050, </w:t>
      </w:r>
      <w:r>
        <w:rPr>
          <w:rFonts w:ascii="PT Astra Serif" w:hAnsi="PT Astra Serif"/>
          <w:sz w:val="26"/>
          <w:szCs w:val="26"/>
        </w:rPr>
        <w:t>а также по причине завершения периода</w:t>
      </w:r>
      <w:r>
        <w:rPr>
          <w:rFonts w:ascii="PT Astra Serif" w:hAnsi="PT Astra Serif"/>
          <w:sz w:val="26"/>
          <w:szCs w:val="26"/>
        </w:rPr>
        <w:t xml:space="preserve"> реализации Программ</w:t>
      </w:r>
      <w:r>
        <w:rPr>
          <w:rFonts w:ascii="PT Astra Serif" w:hAnsi="PT Astra Serif" w:cs="PT Astra Serif"/>
          <w:sz w:val="26"/>
          <w:szCs w:val="26"/>
        </w:rPr>
        <w:t xml:space="preserve">: </w:t>
      </w:r>
    </w:p>
    <w:p w:rsidR="00613711" w:rsidRDefault="00EE20DA">
      <w:pPr>
        <w:pStyle w:val="ConsPlusNormal"/>
        <w:ind w:firstLine="567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 xml:space="preserve">1. Александровский район: </w:t>
      </w:r>
      <w:r>
        <w:rPr>
          <w:rFonts w:ascii="PT Astra Serif" w:hAnsi="PT Astra Serif"/>
          <w:sz w:val="26"/>
          <w:szCs w:val="26"/>
        </w:rPr>
        <w:t xml:space="preserve">Александровское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, Лукашкин-</w:t>
      </w:r>
      <w:proofErr w:type="spellStart"/>
      <w:r>
        <w:rPr>
          <w:rFonts w:ascii="PT Astra Serif" w:hAnsi="PT Astra Serif"/>
          <w:sz w:val="26"/>
          <w:szCs w:val="26"/>
        </w:rPr>
        <w:t>Ярское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Назинское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Новоникольское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Октябрьское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Северное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);</w:t>
      </w:r>
    </w:p>
    <w:p w:rsidR="00613711" w:rsidRDefault="00EE20DA">
      <w:pPr>
        <w:pStyle w:val="ConsPlusNormal"/>
        <w:ind w:firstLine="567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2. </w:t>
      </w:r>
      <w:proofErr w:type="spellStart"/>
      <w:r>
        <w:rPr>
          <w:rFonts w:ascii="PT Astra Serif" w:hAnsi="PT Astra Serif" w:cs="PT Astra Serif"/>
          <w:sz w:val="26"/>
          <w:szCs w:val="26"/>
        </w:rPr>
        <w:t>Асиновский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 w:cs="PT Astra Serif"/>
          <w:sz w:val="26"/>
          <w:szCs w:val="26"/>
        </w:rPr>
        <w:t>Батуринское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 w:cs="PT Astra Serif"/>
          <w:sz w:val="26"/>
          <w:szCs w:val="26"/>
        </w:rPr>
        <w:t>Большедороховское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, Ягодное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 xml:space="preserve">3. </w:t>
      </w:r>
      <w:proofErr w:type="spellStart"/>
      <w:r>
        <w:rPr>
          <w:rFonts w:ascii="PT Astra Serif" w:hAnsi="PT Astra Serif" w:cs="PT Astra Serif"/>
          <w:sz w:val="26"/>
          <w:szCs w:val="26"/>
        </w:rPr>
        <w:t>Бакчарский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 w:cs="PT Astra Serif"/>
          <w:sz w:val="26"/>
          <w:szCs w:val="26"/>
        </w:rPr>
        <w:t>Парбигское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</w:t>
      </w:r>
      <w:r>
        <w:rPr>
          <w:rFonts w:ascii="PT Astra Serif" w:hAnsi="PT Astra Serif" w:cs="PT Astra Serif"/>
          <w:sz w:val="26"/>
          <w:szCs w:val="26"/>
        </w:rPr>
        <w:t>п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 w:cs="PT Astra Serif"/>
          <w:sz w:val="26"/>
          <w:szCs w:val="26"/>
        </w:rPr>
        <w:t>Высокоярское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 xml:space="preserve">4. Зырянский район: </w:t>
      </w:r>
      <w:proofErr w:type="spellStart"/>
      <w:r>
        <w:rPr>
          <w:rFonts w:ascii="PT Astra Serif" w:hAnsi="PT Astra Serif" w:cs="PT Astra Serif"/>
          <w:sz w:val="26"/>
          <w:szCs w:val="26"/>
        </w:rPr>
        <w:t>Высоковское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 w:cs="PT Astra Serif"/>
          <w:sz w:val="26"/>
          <w:szCs w:val="26"/>
        </w:rPr>
        <w:t>Чердатское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 xml:space="preserve">5.Кожевниковский район: </w:t>
      </w:r>
      <w:proofErr w:type="spellStart"/>
      <w:r>
        <w:rPr>
          <w:rFonts w:ascii="PT Astra Serif" w:hAnsi="PT Astra Serif" w:cs="PT Astra Serif"/>
          <w:sz w:val="26"/>
          <w:szCs w:val="26"/>
        </w:rPr>
        <w:t>Вороновское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 w:cs="PT Astra Serif"/>
          <w:sz w:val="26"/>
          <w:szCs w:val="26"/>
        </w:rPr>
        <w:t>Малиновское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 w:cs="PT Astra Serif"/>
          <w:sz w:val="26"/>
          <w:szCs w:val="26"/>
        </w:rPr>
        <w:t>Песочнодубровское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 w:cs="PT Astra Serif"/>
          <w:sz w:val="26"/>
          <w:szCs w:val="26"/>
        </w:rPr>
        <w:t>Староювалинское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 w:cs="PT Astra Serif"/>
          <w:sz w:val="26"/>
          <w:szCs w:val="26"/>
        </w:rPr>
        <w:t>Чилинское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 xml:space="preserve">6. </w:t>
      </w:r>
      <w:proofErr w:type="spellStart"/>
      <w:r>
        <w:rPr>
          <w:rFonts w:ascii="PT Astra Serif" w:hAnsi="PT Astra Serif" w:cs="PT Astra Serif"/>
          <w:sz w:val="26"/>
          <w:szCs w:val="26"/>
        </w:rPr>
        <w:t>Кривошеинский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 w:cs="PT Astra Serif"/>
          <w:sz w:val="26"/>
          <w:szCs w:val="26"/>
        </w:rPr>
        <w:t>Иштанское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; </w:t>
      </w:r>
    </w:p>
    <w:p w:rsidR="00613711" w:rsidRDefault="00EE20DA">
      <w:pPr>
        <w:pStyle w:val="ConsPlusNormal"/>
        <w:ind w:firstLine="567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 xml:space="preserve">7. </w:t>
      </w:r>
      <w:proofErr w:type="spellStart"/>
      <w:r>
        <w:rPr>
          <w:rFonts w:ascii="PT Astra Serif" w:hAnsi="PT Astra Serif" w:cs="PT Astra Serif"/>
          <w:sz w:val="26"/>
          <w:szCs w:val="26"/>
        </w:rPr>
        <w:t>Молчановский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 w:cs="PT Astra Serif"/>
          <w:sz w:val="26"/>
          <w:szCs w:val="26"/>
        </w:rPr>
        <w:t>Могочинское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 w:cs="PT Astra Serif"/>
          <w:sz w:val="26"/>
          <w:szCs w:val="26"/>
        </w:rPr>
        <w:t>Молчановское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 w:cs="PT Astra Serif"/>
          <w:sz w:val="26"/>
          <w:szCs w:val="26"/>
        </w:rPr>
        <w:t>Наргинское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 w:cs="PT Astra Serif"/>
          <w:sz w:val="26"/>
          <w:szCs w:val="26"/>
        </w:rPr>
        <w:t>Суйгинское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 w:cs="PT Astra Serif"/>
          <w:sz w:val="26"/>
          <w:szCs w:val="26"/>
        </w:rPr>
        <w:t>Тунгусовское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 xml:space="preserve">8. </w:t>
      </w:r>
      <w:proofErr w:type="spellStart"/>
      <w:r>
        <w:rPr>
          <w:rFonts w:ascii="PT Astra Serif" w:hAnsi="PT Astra Serif" w:cs="PT Astra Serif"/>
          <w:sz w:val="26"/>
          <w:szCs w:val="26"/>
        </w:rPr>
        <w:t>Парабельский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район: Заводское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 w:cs="PT Astra Serif"/>
          <w:sz w:val="26"/>
          <w:szCs w:val="26"/>
        </w:rPr>
        <w:t>Парабельское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 w:cs="PT Astra Serif"/>
          <w:sz w:val="26"/>
          <w:szCs w:val="26"/>
        </w:rPr>
        <w:t>Старицинское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 xml:space="preserve">9. Первомайский район: </w:t>
      </w:r>
      <w:proofErr w:type="spellStart"/>
      <w:r>
        <w:rPr>
          <w:rFonts w:ascii="PT Astra Serif" w:hAnsi="PT Astra Serif" w:cs="PT Astra Serif"/>
          <w:sz w:val="26"/>
          <w:szCs w:val="26"/>
        </w:rPr>
        <w:t>Куяновское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 xml:space="preserve">10. Томский район: Октябрьское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 w:cs="PT Astra Serif"/>
          <w:sz w:val="26"/>
          <w:szCs w:val="26"/>
        </w:rPr>
        <w:t>Вороновское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 w:cs="PT Astra Serif"/>
          <w:sz w:val="26"/>
          <w:szCs w:val="26"/>
        </w:rPr>
        <w:t>Богашевское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 xml:space="preserve">11. </w:t>
      </w:r>
      <w:proofErr w:type="spellStart"/>
      <w:r>
        <w:rPr>
          <w:rFonts w:ascii="PT Astra Serif" w:hAnsi="PT Astra Serif" w:cs="PT Astra Serif"/>
          <w:sz w:val="26"/>
          <w:szCs w:val="26"/>
        </w:rPr>
        <w:t>Шегарск</w:t>
      </w:r>
      <w:r>
        <w:rPr>
          <w:rFonts w:ascii="PT Astra Serif" w:hAnsi="PT Astra Serif" w:cs="PT Astra Serif"/>
          <w:sz w:val="26"/>
          <w:szCs w:val="26"/>
        </w:rPr>
        <w:t>ий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 w:cs="PT Astra Serif"/>
          <w:sz w:val="26"/>
          <w:szCs w:val="26"/>
        </w:rPr>
        <w:t>Баткатское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 w:cs="PT Astra Serif"/>
          <w:sz w:val="26"/>
          <w:szCs w:val="26"/>
        </w:rPr>
        <w:t>Побединское</w:t>
      </w:r>
      <w:proofErr w:type="spellEnd"/>
      <w:r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PT Astra Serif"/>
          <w:sz w:val="26"/>
          <w:szCs w:val="26"/>
        </w:rPr>
        <w:t>сп</w:t>
      </w:r>
      <w:proofErr w:type="spellEnd"/>
      <w:r>
        <w:rPr>
          <w:rFonts w:ascii="PT Astra Serif" w:hAnsi="PT Astra Serif" w:cs="PT Astra Serif"/>
          <w:sz w:val="26"/>
          <w:szCs w:val="26"/>
        </w:rPr>
        <w:t>.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рамках мониторинга проведена работа со 119 МО на предмет устранения выявленных замечаний, а также разработки Программ в тех МО, где указанные документы отсутствовали.  Также проведены консультации для МО и проверк</w:t>
      </w:r>
      <w:r>
        <w:rPr>
          <w:rFonts w:ascii="PT Astra Serif" w:hAnsi="PT Astra Serif"/>
          <w:sz w:val="26"/>
          <w:szCs w:val="26"/>
        </w:rPr>
        <w:t xml:space="preserve">а подготавливаемой документации с целью недопущения нарушений и несоответствий в новых Программах. </w:t>
      </w:r>
    </w:p>
    <w:p w:rsidR="00613711" w:rsidRDefault="00EE20DA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  <w:u w:val="single"/>
        </w:rPr>
        <w:t>В результате мониторинга по состоянию на 2 полугодие 2025 г</w:t>
      </w:r>
      <w:r>
        <w:rPr>
          <w:rFonts w:ascii="PT Astra Serif" w:hAnsi="PT Astra Serif"/>
          <w:sz w:val="26"/>
          <w:szCs w:val="26"/>
        </w:rPr>
        <w:t xml:space="preserve">. 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из </w:t>
      </w:r>
      <w:r>
        <w:rPr>
          <w:rFonts w:ascii="PT Astra Serif" w:hAnsi="PT Astra Serif"/>
          <w:sz w:val="26"/>
          <w:szCs w:val="26"/>
        </w:rPr>
        <w:t>119 МО достигнуты следующие показатели Программы: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 разработаны и утверждены в 98 МО (82,4%)</w:t>
      </w:r>
      <w:r>
        <w:rPr>
          <w:rFonts w:ascii="PT Astra Serif" w:hAnsi="PT Astra Serif"/>
          <w:sz w:val="26"/>
          <w:szCs w:val="26"/>
        </w:rPr>
        <w:t>, из них соответствуют требованиям Постановления №1050 в 86 МО (72,3 %);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размещены во ФГИС ТП в 87 МО (73 %);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размещены на официальных сайтах в 98 МО (82,4%).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Программы остались не разработаны в 21 МО (17,6%): 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1. Городской округ «Город Томск»;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2. Томс</w:t>
      </w:r>
      <w:r>
        <w:rPr>
          <w:rFonts w:ascii="PT Astra Serif" w:hAnsi="PT Astra Serif"/>
          <w:sz w:val="26"/>
          <w:szCs w:val="26"/>
        </w:rPr>
        <w:t xml:space="preserve">кий район: Заречное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Зоркальцевское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Межениновское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Мирненское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Моряковское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Новорождественское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Спасское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Турунтаевское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 </w:t>
      </w:r>
      <w:proofErr w:type="spellStart"/>
      <w:r>
        <w:rPr>
          <w:rFonts w:ascii="PT Astra Serif" w:hAnsi="PT Astra Serif"/>
          <w:sz w:val="26"/>
          <w:szCs w:val="26"/>
        </w:rPr>
        <w:t>Шегарский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/>
          <w:sz w:val="26"/>
          <w:szCs w:val="26"/>
        </w:rPr>
        <w:t>Анастасьевское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Северное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Трубачевское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Шегарское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 </w:t>
      </w:r>
      <w:proofErr w:type="spellStart"/>
      <w:r>
        <w:rPr>
          <w:rFonts w:ascii="PT Astra Serif" w:hAnsi="PT Astra Serif"/>
          <w:sz w:val="26"/>
          <w:szCs w:val="26"/>
        </w:rPr>
        <w:t>Бакчарский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/>
          <w:sz w:val="26"/>
          <w:szCs w:val="26"/>
        </w:rPr>
        <w:t>Бакчар</w:t>
      </w:r>
      <w:r>
        <w:rPr>
          <w:rFonts w:ascii="PT Astra Serif" w:hAnsi="PT Astra Serif"/>
          <w:sz w:val="26"/>
          <w:szCs w:val="26"/>
        </w:rPr>
        <w:t>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Высокоярское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5. Зырянский район: </w:t>
      </w:r>
      <w:proofErr w:type="spellStart"/>
      <w:r>
        <w:rPr>
          <w:rFonts w:ascii="PT Astra Serif" w:hAnsi="PT Astra Serif"/>
          <w:sz w:val="26"/>
          <w:szCs w:val="26"/>
        </w:rPr>
        <w:t>Дубровское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Михайловское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 </w:t>
      </w:r>
      <w:proofErr w:type="spellStart"/>
      <w:r>
        <w:rPr>
          <w:rFonts w:ascii="PT Astra Serif" w:hAnsi="PT Astra Serif"/>
          <w:sz w:val="26"/>
          <w:szCs w:val="26"/>
        </w:rPr>
        <w:t>Кожевниковский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/>
          <w:sz w:val="26"/>
          <w:szCs w:val="26"/>
        </w:rPr>
        <w:t>Кожевниковское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Уртамское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7. Первомайский район: Улу-</w:t>
      </w:r>
      <w:proofErr w:type="spellStart"/>
      <w:r>
        <w:rPr>
          <w:rFonts w:ascii="PT Astra Serif" w:hAnsi="PT Astra Serif"/>
          <w:sz w:val="26"/>
          <w:szCs w:val="26"/>
        </w:rPr>
        <w:t>Юльское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Новомариинское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Среди основных причин неисполнения положений законодательства </w:t>
      </w:r>
      <w:r>
        <w:rPr>
          <w:rFonts w:ascii="PT Astra Serif" w:hAnsi="PT Astra Serif"/>
          <w:sz w:val="26"/>
          <w:szCs w:val="26"/>
        </w:rPr>
        <w:t xml:space="preserve">по разработке и утверждению Программ следует выделить: 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отсутствие в МО квалифицированных кадров для самостоятельной разработки Программ;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 отсутствие бюджетных средств для заключения муниципальных контрактов на </w:t>
      </w:r>
      <w:r>
        <w:rPr>
          <w:rFonts w:ascii="PT Astra Serif" w:hAnsi="PT Astra Serif"/>
          <w:sz w:val="26"/>
          <w:szCs w:val="26"/>
        </w:rPr>
        <w:lastRenderedPageBreak/>
        <w:t>выполнение требуемых работ.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Работа по под</w:t>
      </w:r>
      <w:r>
        <w:rPr>
          <w:rFonts w:ascii="PT Astra Serif" w:hAnsi="PT Astra Serif"/>
          <w:sz w:val="26"/>
          <w:szCs w:val="26"/>
        </w:rPr>
        <w:t xml:space="preserve">готовке и утверждению Программ комплексного развития социальной инфраструктуры в вышеуказанных МО будет продолжена. 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Также продолжается актуализация документов в тех МО, в которых Программы не соответствуют установленным требованиям. 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-134620</wp:posOffset>
            </wp:positionH>
            <wp:positionV relativeFrom="paragraph">
              <wp:posOffset>715645</wp:posOffset>
            </wp:positionV>
            <wp:extent cx="6619875" cy="3952875"/>
            <wp:effectExtent l="0" t="0" r="9525" b="952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T Astra Serif" w:hAnsi="PT Astra Serif"/>
          <w:sz w:val="26"/>
          <w:szCs w:val="26"/>
        </w:rPr>
        <w:t>Сводные данные по по</w:t>
      </w:r>
      <w:r>
        <w:rPr>
          <w:rFonts w:ascii="PT Astra Serif" w:hAnsi="PT Astra Serif"/>
          <w:sz w:val="26"/>
          <w:szCs w:val="26"/>
        </w:rPr>
        <w:t>казателям разработки, утверждению и соответствия Программ требованиям Постановления №1050 по результатам мониторинга за период со 2 полугодия 2024 года по 1 октября 2025 года отражены в диаграмме:</w:t>
      </w:r>
    </w:p>
    <w:p w:rsidR="00613711" w:rsidRDefault="00613711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Программы </w:t>
      </w:r>
      <w:r>
        <w:rPr>
          <w:rFonts w:ascii="PT Astra Serif" w:hAnsi="PT Astra Serif"/>
          <w:sz w:val="26"/>
          <w:szCs w:val="26"/>
          <w:u w:val="single"/>
        </w:rPr>
        <w:t>не опубликованы на официальных сайтах</w:t>
      </w:r>
      <w:r>
        <w:rPr>
          <w:rFonts w:ascii="PT Astra Serif" w:hAnsi="PT Astra Serif"/>
          <w:sz w:val="26"/>
          <w:szCs w:val="26"/>
        </w:rPr>
        <w:t xml:space="preserve"> в 23 МО: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1. Городской округ «Город Томск»;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2. Томский район: </w:t>
      </w:r>
      <w:proofErr w:type="spellStart"/>
      <w:r>
        <w:rPr>
          <w:rFonts w:ascii="PT Astra Serif" w:hAnsi="PT Astra Serif"/>
          <w:sz w:val="26"/>
          <w:szCs w:val="26"/>
        </w:rPr>
        <w:t>Наумовское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Заречное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Зоркальцевское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Межениновское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Мирненское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Моряковское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Новорождественское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Спасское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Турунтаевское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 </w:t>
      </w:r>
      <w:proofErr w:type="spellStart"/>
      <w:r>
        <w:rPr>
          <w:rFonts w:ascii="PT Astra Serif" w:hAnsi="PT Astra Serif"/>
          <w:sz w:val="26"/>
          <w:szCs w:val="26"/>
        </w:rPr>
        <w:t>Шегарский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/>
          <w:sz w:val="26"/>
          <w:szCs w:val="26"/>
        </w:rPr>
        <w:t>Анастасьевское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Северное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Тр</w:t>
      </w:r>
      <w:r>
        <w:rPr>
          <w:rFonts w:ascii="PT Astra Serif" w:hAnsi="PT Astra Serif"/>
          <w:sz w:val="26"/>
          <w:szCs w:val="26"/>
        </w:rPr>
        <w:t>убачевское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Шегарское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 </w:t>
      </w:r>
      <w:proofErr w:type="spellStart"/>
      <w:r>
        <w:rPr>
          <w:rFonts w:ascii="PT Astra Serif" w:hAnsi="PT Astra Serif"/>
          <w:sz w:val="26"/>
          <w:szCs w:val="26"/>
        </w:rPr>
        <w:t>Бакчарский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/>
          <w:sz w:val="26"/>
          <w:szCs w:val="26"/>
        </w:rPr>
        <w:t>Бакчарское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5. Зырянский район: </w:t>
      </w:r>
      <w:proofErr w:type="spellStart"/>
      <w:r>
        <w:rPr>
          <w:rFonts w:ascii="PT Astra Serif" w:hAnsi="PT Astra Serif"/>
          <w:sz w:val="26"/>
          <w:szCs w:val="26"/>
        </w:rPr>
        <w:t>Чердатское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Дубровское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Михайловское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 </w:t>
      </w:r>
      <w:proofErr w:type="spellStart"/>
      <w:r>
        <w:rPr>
          <w:rFonts w:ascii="PT Astra Serif" w:hAnsi="PT Astra Serif"/>
          <w:sz w:val="26"/>
          <w:szCs w:val="26"/>
        </w:rPr>
        <w:t>Кожевниковский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/>
          <w:sz w:val="26"/>
          <w:szCs w:val="26"/>
        </w:rPr>
        <w:t>Кожевниковское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Уртамское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Новопокровское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7. Первомайский район: Улу-</w:t>
      </w:r>
      <w:proofErr w:type="spellStart"/>
      <w:r>
        <w:rPr>
          <w:rFonts w:ascii="PT Astra Serif" w:hAnsi="PT Astra Serif"/>
          <w:sz w:val="26"/>
          <w:szCs w:val="26"/>
        </w:rPr>
        <w:t>Юльское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Новомари</w:t>
      </w:r>
      <w:r>
        <w:rPr>
          <w:rFonts w:ascii="PT Astra Serif" w:hAnsi="PT Astra Serif"/>
          <w:sz w:val="26"/>
          <w:szCs w:val="26"/>
        </w:rPr>
        <w:t>инское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8. </w:t>
      </w:r>
      <w:proofErr w:type="spellStart"/>
      <w:r>
        <w:rPr>
          <w:rFonts w:ascii="PT Astra Serif" w:hAnsi="PT Astra Serif"/>
          <w:sz w:val="26"/>
          <w:szCs w:val="26"/>
        </w:rPr>
        <w:t>Тегульдетский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/>
          <w:sz w:val="26"/>
          <w:szCs w:val="26"/>
        </w:rPr>
        <w:t>Берегаевское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.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Программы </w:t>
      </w:r>
      <w:r>
        <w:rPr>
          <w:rFonts w:ascii="PT Astra Serif" w:hAnsi="PT Astra Serif"/>
          <w:sz w:val="26"/>
          <w:szCs w:val="26"/>
          <w:u w:val="single"/>
        </w:rPr>
        <w:t>не опубликованы во ФГИС ТП</w:t>
      </w:r>
      <w:r>
        <w:rPr>
          <w:rFonts w:ascii="PT Astra Serif" w:hAnsi="PT Astra Serif"/>
          <w:sz w:val="26"/>
          <w:szCs w:val="26"/>
        </w:rPr>
        <w:t xml:space="preserve"> в 35 МО: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1. Городской округ «Город Томск»;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2. Томский район: </w:t>
      </w:r>
      <w:proofErr w:type="spellStart"/>
      <w:r>
        <w:rPr>
          <w:rFonts w:ascii="PT Astra Serif" w:hAnsi="PT Astra Serif"/>
          <w:sz w:val="26"/>
          <w:szCs w:val="26"/>
        </w:rPr>
        <w:t>Корниловское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Воронинское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Заречное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Зоркальцевское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Межениновское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Мирненское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, Моряковс</w:t>
      </w:r>
      <w:r>
        <w:rPr>
          <w:rFonts w:ascii="PT Astra Serif" w:hAnsi="PT Astra Serif"/>
          <w:sz w:val="26"/>
          <w:szCs w:val="26"/>
        </w:rPr>
        <w:t xml:space="preserve">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Новорождественское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Спасское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Турунтаевское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Калтайское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 </w:t>
      </w:r>
      <w:proofErr w:type="spellStart"/>
      <w:r>
        <w:rPr>
          <w:rFonts w:ascii="PT Astra Serif" w:hAnsi="PT Astra Serif"/>
          <w:sz w:val="26"/>
          <w:szCs w:val="26"/>
        </w:rPr>
        <w:t>Шегарский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/>
          <w:sz w:val="26"/>
          <w:szCs w:val="26"/>
        </w:rPr>
        <w:t>Анастасьевское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Северное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Трубачевское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Шегарское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 </w:t>
      </w:r>
      <w:proofErr w:type="spellStart"/>
      <w:r>
        <w:rPr>
          <w:rFonts w:ascii="PT Astra Serif" w:hAnsi="PT Astra Serif"/>
          <w:sz w:val="26"/>
          <w:szCs w:val="26"/>
        </w:rPr>
        <w:t>Бакчарский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/>
          <w:sz w:val="26"/>
          <w:szCs w:val="26"/>
        </w:rPr>
        <w:t>Бакчарское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Высокоярское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5. Зырянский район: </w:t>
      </w:r>
      <w:proofErr w:type="spellStart"/>
      <w:r>
        <w:rPr>
          <w:rFonts w:ascii="PT Astra Serif" w:hAnsi="PT Astra Serif"/>
          <w:sz w:val="26"/>
          <w:szCs w:val="26"/>
        </w:rPr>
        <w:t>Дубровское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, Михайлов</w:t>
      </w:r>
      <w:r>
        <w:rPr>
          <w:rFonts w:ascii="PT Astra Serif" w:hAnsi="PT Astra Serif"/>
          <w:sz w:val="26"/>
          <w:szCs w:val="26"/>
        </w:rPr>
        <w:t xml:space="preserve">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Чердатское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 </w:t>
      </w:r>
      <w:proofErr w:type="spellStart"/>
      <w:r>
        <w:rPr>
          <w:rFonts w:ascii="PT Astra Serif" w:hAnsi="PT Astra Serif"/>
          <w:sz w:val="26"/>
          <w:szCs w:val="26"/>
        </w:rPr>
        <w:t>Кожевниковский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/>
          <w:sz w:val="26"/>
          <w:szCs w:val="26"/>
        </w:rPr>
        <w:t>Кожевниковское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Уртамское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Новопокровское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7. Первомайский район: Улу-</w:t>
      </w:r>
      <w:proofErr w:type="spellStart"/>
      <w:r>
        <w:rPr>
          <w:rFonts w:ascii="PT Astra Serif" w:hAnsi="PT Astra Serif"/>
          <w:sz w:val="26"/>
          <w:szCs w:val="26"/>
        </w:rPr>
        <w:t>Юльское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Новомариинское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8. </w:t>
      </w:r>
      <w:proofErr w:type="spellStart"/>
      <w:r>
        <w:rPr>
          <w:rFonts w:ascii="PT Astra Serif" w:hAnsi="PT Astra Serif"/>
          <w:sz w:val="26"/>
          <w:szCs w:val="26"/>
        </w:rPr>
        <w:t>Тегульдетский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/>
          <w:sz w:val="26"/>
          <w:szCs w:val="26"/>
        </w:rPr>
        <w:t>Берегаевское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9. </w:t>
      </w:r>
      <w:proofErr w:type="spellStart"/>
      <w:r>
        <w:rPr>
          <w:rFonts w:ascii="PT Astra Serif" w:hAnsi="PT Astra Serif"/>
          <w:sz w:val="26"/>
          <w:szCs w:val="26"/>
        </w:rPr>
        <w:t>Кривошеинский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10. </w:t>
      </w:r>
      <w:proofErr w:type="spellStart"/>
      <w:r>
        <w:rPr>
          <w:rFonts w:ascii="PT Astra Serif" w:hAnsi="PT Astra Serif"/>
          <w:sz w:val="26"/>
          <w:szCs w:val="26"/>
        </w:rPr>
        <w:t>Каргасокский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/>
          <w:sz w:val="26"/>
          <w:szCs w:val="26"/>
        </w:rPr>
        <w:t>Новоюги</w:t>
      </w:r>
      <w:r>
        <w:rPr>
          <w:rFonts w:ascii="PT Astra Serif" w:hAnsi="PT Astra Serif"/>
          <w:sz w:val="26"/>
          <w:szCs w:val="26"/>
        </w:rPr>
        <w:t>нское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11. </w:t>
      </w:r>
      <w:proofErr w:type="spellStart"/>
      <w:r>
        <w:rPr>
          <w:rFonts w:ascii="PT Astra Serif" w:hAnsi="PT Astra Serif"/>
          <w:sz w:val="26"/>
          <w:szCs w:val="26"/>
        </w:rPr>
        <w:t>Асиновский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Ягодное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Новиковское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Батуринское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12. </w:t>
      </w:r>
      <w:proofErr w:type="spellStart"/>
      <w:r>
        <w:rPr>
          <w:rFonts w:ascii="PT Astra Serif" w:hAnsi="PT Astra Serif"/>
          <w:sz w:val="26"/>
          <w:szCs w:val="26"/>
        </w:rPr>
        <w:t>Молчановский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/>
          <w:sz w:val="26"/>
          <w:szCs w:val="26"/>
        </w:rPr>
        <w:t>Магочинское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.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Сводные данные по публикации утвержденных Программ на официальных сайтах МО и в ФГИС ТП по результатам мониторинга за период со 2 полугодия</w:t>
      </w:r>
      <w:r>
        <w:rPr>
          <w:rFonts w:ascii="PT Astra Serif" w:hAnsi="PT Astra Serif"/>
          <w:sz w:val="26"/>
          <w:szCs w:val="26"/>
        </w:rPr>
        <w:t xml:space="preserve"> 2024 года по </w:t>
      </w:r>
      <w:r w:rsidRPr="002747D0">
        <w:rPr>
          <w:rFonts w:ascii="PT Astra Serif" w:hAnsi="PT Astra Serif"/>
          <w:sz w:val="26"/>
          <w:szCs w:val="26"/>
        </w:rPr>
        <w:t>15 декабря 2025 года</w:t>
      </w:r>
      <w:r>
        <w:rPr>
          <w:rFonts w:ascii="PT Astra Serif" w:hAnsi="PT Astra Serif"/>
          <w:sz w:val="26"/>
          <w:szCs w:val="26"/>
        </w:rPr>
        <w:t xml:space="preserve"> также отражены в соответствующей диаграмме:</w:t>
      </w:r>
    </w:p>
    <w:p w:rsidR="00613711" w:rsidRDefault="0061371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613711" w:rsidRDefault="00EE20DA">
      <w:pPr>
        <w:pStyle w:val="ConsPlusNormal"/>
        <w:ind w:firstLine="436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 xml:space="preserve">Динамика изменений показателей публикации </w:t>
      </w:r>
      <w:proofErr w:type="gramStart"/>
      <w:r>
        <w:rPr>
          <w:rFonts w:ascii="PT Astra Serif" w:hAnsi="PT Astra Serif"/>
          <w:b/>
          <w:bCs/>
          <w:sz w:val="26"/>
          <w:szCs w:val="26"/>
        </w:rPr>
        <w:t>Программ  комплексного</w:t>
      </w:r>
      <w:proofErr w:type="gramEnd"/>
      <w:r>
        <w:rPr>
          <w:rFonts w:ascii="PT Astra Serif" w:hAnsi="PT Astra Serif"/>
          <w:b/>
          <w:bCs/>
          <w:sz w:val="26"/>
          <w:szCs w:val="26"/>
        </w:rPr>
        <w:t xml:space="preserve"> развития социальной инфраструктуры на официальных сайтах и в Федеральной государственной информационной системе</w:t>
      </w:r>
      <w:r>
        <w:rPr>
          <w:rFonts w:ascii="PT Astra Serif" w:hAnsi="PT Astra Serif"/>
          <w:b/>
          <w:bCs/>
          <w:sz w:val="26"/>
          <w:szCs w:val="26"/>
        </w:rPr>
        <w:t xml:space="preserve"> территориального планирования по результатам мониторинга за период </w:t>
      </w:r>
      <w:r>
        <w:rPr>
          <w:rFonts w:ascii="PT Astra Serif" w:hAnsi="PT Astra Serif"/>
          <w:b/>
          <w:bCs/>
          <w:sz w:val="26"/>
          <w:szCs w:val="26"/>
          <w:lang w:val="en-US"/>
        </w:rPr>
        <w:t>II</w:t>
      </w:r>
      <w:r>
        <w:rPr>
          <w:rFonts w:ascii="PT Astra Serif" w:hAnsi="PT Astra Serif"/>
          <w:b/>
          <w:bCs/>
          <w:sz w:val="26"/>
          <w:szCs w:val="26"/>
        </w:rPr>
        <w:t xml:space="preserve"> полугодие 2024 года – </w:t>
      </w:r>
      <w:r>
        <w:rPr>
          <w:rFonts w:ascii="PT Astra Serif" w:hAnsi="PT Astra Serif"/>
          <w:b/>
          <w:bCs/>
          <w:sz w:val="26"/>
          <w:szCs w:val="26"/>
          <w:lang w:val="en-US"/>
        </w:rPr>
        <w:t>II</w:t>
      </w:r>
      <w:r>
        <w:rPr>
          <w:rFonts w:ascii="PT Astra Serif" w:hAnsi="PT Astra Serif"/>
          <w:b/>
          <w:bCs/>
          <w:sz w:val="26"/>
          <w:szCs w:val="26"/>
        </w:rPr>
        <w:t xml:space="preserve"> полугодие 2025 года.</w:t>
      </w:r>
    </w:p>
    <w:p w:rsidR="00613711" w:rsidRDefault="00EE20DA">
      <w:pPr>
        <w:pStyle w:val="ConsPlusNormal"/>
        <w:ind w:firstLine="0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242570</wp:posOffset>
            </wp:positionV>
            <wp:extent cx="6400800" cy="3429000"/>
            <wp:effectExtent l="0" t="0" r="0" b="0"/>
            <wp:wrapSquare wrapText="bothSides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3711" w:rsidRDefault="00613711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Основными причинами отсутствия опубликованных Программ на официальных сайтах МО и в ФГИС ТП являются: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отсутствие в МО квалифицированных кадров, обладающих навыками работы с сайтами и системами;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 отсутствие технической возможности для входа в личные кабинеты во ФГИС ТП (истечение срока действия паролей и время на получение новых паролей, несвоевременная</w:t>
      </w:r>
      <w:r>
        <w:rPr>
          <w:rFonts w:ascii="PT Astra Serif" w:hAnsi="PT Astra Serif"/>
          <w:sz w:val="26"/>
          <w:szCs w:val="26"/>
        </w:rPr>
        <w:t xml:space="preserve"> обратная связь со стороны службы технической поддержки ФГИС ТП).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Вывод по результатам мониторинга по состоянию на </w:t>
      </w:r>
      <w:r>
        <w:rPr>
          <w:rFonts w:ascii="PT Astra Serif" w:hAnsi="PT Astra Serif"/>
          <w:b/>
          <w:bCs/>
          <w:sz w:val="26"/>
          <w:szCs w:val="26"/>
          <w:lang w:val="en-US"/>
        </w:rPr>
        <w:t>II</w:t>
      </w:r>
      <w:r>
        <w:rPr>
          <w:rFonts w:ascii="PT Astra Serif" w:hAnsi="PT Astra Serif"/>
          <w:b/>
          <w:bCs/>
          <w:sz w:val="26"/>
          <w:szCs w:val="26"/>
        </w:rPr>
        <w:t xml:space="preserve"> полугодие </w:t>
      </w:r>
      <w:r>
        <w:rPr>
          <w:rFonts w:ascii="PT Astra Serif" w:hAnsi="PT Astra Serif"/>
          <w:b/>
          <w:sz w:val="26"/>
          <w:szCs w:val="26"/>
        </w:rPr>
        <w:t xml:space="preserve">2025 года: в результате продолжающейся Комитетом работы по организации и осуществлению </w:t>
      </w:r>
      <w:r>
        <w:rPr>
          <w:rFonts w:ascii="PT Astra Serif" w:eastAsia="PT Astra Serif" w:hAnsi="PT Astra Serif" w:cs="PT Astra Serif"/>
          <w:b/>
          <w:sz w:val="26"/>
          <w:szCs w:val="26"/>
        </w:rPr>
        <w:t>мониторинга Программ комплексного развити</w:t>
      </w:r>
      <w:r>
        <w:rPr>
          <w:rFonts w:ascii="PT Astra Serif" w:eastAsia="PT Astra Serif" w:hAnsi="PT Astra Serif" w:cs="PT Astra Serif"/>
          <w:b/>
          <w:sz w:val="26"/>
          <w:szCs w:val="26"/>
        </w:rPr>
        <w:t>я социальной инфраструктуры динамика подготовки, утверждения и размещения на официальных сайтах органов местного самоуправления и ФГИС ТП п</w:t>
      </w:r>
      <w:r>
        <w:rPr>
          <w:rFonts w:ascii="PT Astra Serif" w:hAnsi="PT Astra Serif"/>
          <w:b/>
          <w:sz w:val="26"/>
          <w:szCs w:val="26"/>
        </w:rPr>
        <w:t>рограмм комплексного развития социальной инфраструктуры остается положительной. В ряде МО Программы находятся в стади</w:t>
      </w:r>
      <w:r>
        <w:rPr>
          <w:rFonts w:ascii="PT Astra Serif" w:hAnsi="PT Astra Serif"/>
          <w:b/>
          <w:sz w:val="26"/>
          <w:szCs w:val="26"/>
        </w:rPr>
        <w:t xml:space="preserve">и разработки, их утверждение запланировано на </w:t>
      </w:r>
      <w:r>
        <w:rPr>
          <w:rFonts w:ascii="PT Astra Serif" w:hAnsi="PT Astra Serif"/>
          <w:b/>
          <w:sz w:val="26"/>
          <w:szCs w:val="26"/>
          <w:lang w:val="en-US"/>
        </w:rPr>
        <w:t>I</w:t>
      </w:r>
      <w:r>
        <w:rPr>
          <w:rFonts w:ascii="PT Astra Serif" w:hAnsi="PT Astra Serif"/>
          <w:b/>
          <w:sz w:val="26"/>
          <w:szCs w:val="26"/>
        </w:rPr>
        <w:t xml:space="preserve"> полугодие 2026. Также частью МО предусмотрены бюджетные средства на 2026 год для разработки Программ.</w:t>
      </w:r>
    </w:p>
    <w:p w:rsidR="00613711" w:rsidRDefault="00613711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</w:p>
    <w:sectPr w:rsidR="00613711">
      <w:headerReference w:type="default" r:id="rId10"/>
      <w:footerReference w:type="even" r:id="rId11"/>
      <w:pgSz w:w="11907" w:h="16840"/>
      <w:pgMar w:top="851" w:right="567" w:bottom="568" w:left="1276" w:header="567" w:footer="567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711" w:rsidRDefault="00EE20DA">
      <w:pPr>
        <w:spacing w:before="0"/>
      </w:pPr>
      <w:r>
        <w:separator/>
      </w:r>
    </w:p>
  </w:endnote>
  <w:endnote w:type="continuationSeparator" w:id="0">
    <w:p w:rsidR="00613711" w:rsidRDefault="00EE20D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711" w:rsidRDefault="00EE20DA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2</w:t>
    </w:r>
    <w:r>
      <w:fldChar w:fldCharType="end"/>
    </w:r>
  </w:p>
  <w:p w:rsidR="00613711" w:rsidRDefault="00613711">
    <w:pPr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711" w:rsidRDefault="00EE20DA">
      <w:pPr>
        <w:spacing w:before="0"/>
      </w:pPr>
      <w:r>
        <w:separator/>
      </w:r>
    </w:p>
  </w:footnote>
  <w:footnote w:type="continuationSeparator" w:id="0">
    <w:p w:rsidR="00613711" w:rsidRDefault="00EE20D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613212"/>
      <w:docPartObj>
        <w:docPartGallery w:val="Page Numbers (Top of Page)"/>
        <w:docPartUnique/>
      </w:docPartObj>
    </w:sdtPr>
    <w:sdtEndPr/>
    <w:sdtContent>
      <w:p w:rsidR="00613711" w:rsidRDefault="00EE20DA">
        <w:pPr>
          <w:pStyle w:val="af6"/>
          <w:jc w:val="center"/>
          <w:rPr>
            <w:rFonts w:ascii="PT Astra Serif" w:hAnsi="PT Astra Serif" w:cs="PT Astra Serif"/>
            <w:sz w:val="28"/>
            <w:szCs w:val="28"/>
          </w:rPr>
        </w:pPr>
        <w:r>
          <w:rPr>
            <w:rFonts w:ascii="PT Astra Serif" w:eastAsia="PT Astra Serif" w:hAnsi="PT Astra Serif" w:cs="PT Astra Serif"/>
            <w:sz w:val="28"/>
            <w:szCs w:val="28"/>
          </w:rPr>
          <w:fldChar w:fldCharType="begin"/>
        </w:r>
        <w:r>
          <w:rPr>
            <w:rFonts w:ascii="PT Astra Serif" w:eastAsia="PT Astra Serif" w:hAnsi="PT Astra Serif" w:cs="PT Astra Serif"/>
            <w:sz w:val="28"/>
            <w:szCs w:val="28"/>
          </w:rPr>
          <w:instrText>PAGE   \* MERGEFORMAT</w:instrText>
        </w:r>
        <w:r>
          <w:rPr>
            <w:rFonts w:ascii="PT Astra Serif" w:eastAsia="PT Astra Serif" w:hAnsi="PT Astra Serif" w:cs="PT Astra Serif"/>
            <w:sz w:val="28"/>
            <w:szCs w:val="28"/>
          </w:rPr>
          <w:fldChar w:fldCharType="separate"/>
        </w:r>
        <w:r>
          <w:rPr>
            <w:rFonts w:ascii="PT Astra Serif" w:eastAsia="PT Astra Serif" w:hAnsi="PT Astra Serif" w:cs="PT Astra Serif"/>
            <w:noProof/>
            <w:sz w:val="28"/>
            <w:szCs w:val="28"/>
          </w:rPr>
          <w:t>2</w:t>
        </w:r>
        <w:r>
          <w:rPr>
            <w:rFonts w:ascii="PT Astra Serif" w:eastAsia="PT Astra Serif" w:hAnsi="PT Astra Serif" w:cs="PT Astra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601F1"/>
    <w:multiLevelType w:val="hybridMultilevel"/>
    <w:tmpl w:val="38D6F5CC"/>
    <w:lvl w:ilvl="0" w:tplc="4B0C5EBA">
      <w:start w:val="1"/>
      <w:numFmt w:val="bullet"/>
      <w:pStyle w:val="a"/>
      <w:lvlText w:val="●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7FD6CA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B8A96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EA39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7675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6AF0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CC15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78702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A8E1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C220D"/>
    <w:multiLevelType w:val="hybridMultilevel"/>
    <w:tmpl w:val="FF2E1DDE"/>
    <w:lvl w:ilvl="0" w:tplc="11D696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B12C7230">
      <w:start w:val="1"/>
      <w:numFmt w:val="lowerLetter"/>
      <w:lvlText w:val="%2."/>
      <w:lvlJc w:val="left"/>
      <w:pPr>
        <w:ind w:left="1647" w:hanging="360"/>
      </w:pPr>
    </w:lvl>
    <w:lvl w:ilvl="2" w:tplc="37807854">
      <w:start w:val="1"/>
      <w:numFmt w:val="lowerRoman"/>
      <w:lvlText w:val="%3."/>
      <w:lvlJc w:val="right"/>
      <w:pPr>
        <w:ind w:left="2367" w:hanging="180"/>
      </w:pPr>
    </w:lvl>
    <w:lvl w:ilvl="3" w:tplc="CB8A0E6E">
      <w:start w:val="1"/>
      <w:numFmt w:val="decimal"/>
      <w:lvlText w:val="%4."/>
      <w:lvlJc w:val="left"/>
      <w:pPr>
        <w:ind w:left="3087" w:hanging="360"/>
      </w:pPr>
    </w:lvl>
    <w:lvl w:ilvl="4" w:tplc="101C4A54">
      <w:start w:val="1"/>
      <w:numFmt w:val="lowerLetter"/>
      <w:lvlText w:val="%5."/>
      <w:lvlJc w:val="left"/>
      <w:pPr>
        <w:ind w:left="3807" w:hanging="360"/>
      </w:pPr>
    </w:lvl>
    <w:lvl w:ilvl="5" w:tplc="EE1EB3DE">
      <w:start w:val="1"/>
      <w:numFmt w:val="lowerRoman"/>
      <w:lvlText w:val="%6."/>
      <w:lvlJc w:val="right"/>
      <w:pPr>
        <w:ind w:left="4527" w:hanging="180"/>
      </w:pPr>
    </w:lvl>
    <w:lvl w:ilvl="6" w:tplc="D982D70C">
      <w:start w:val="1"/>
      <w:numFmt w:val="decimal"/>
      <w:lvlText w:val="%7."/>
      <w:lvlJc w:val="left"/>
      <w:pPr>
        <w:ind w:left="5247" w:hanging="360"/>
      </w:pPr>
    </w:lvl>
    <w:lvl w:ilvl="7" w:tplc="9F3A10A2">
      <w:start w:val="1"/>
      <w:numFmt w:val="lowerLetter"/>
      <w:lvlText w:val="%8."/>
      <w:lvlJc w:val="left"/>
      <w:pPr>
        <w:ind w:left="5967" w:hanging="360"/>
      </w:pPr>
    </w:lvl>
    <w:lvl w:ilvl="8" w:tplc="9BA81E9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02F4721"/>
    <w:multiLevelType w:val="hybridMultilevel"/>
    <w:tmpl w:val="22F2166E"/>
    <w:lvl w:ilvl="0" w:tplc="015A5A7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F9DAC460">
      <w:start w:val="1"/>
      <w:numFmt w:val="lowerLetter"/>
      <w:lvlText w:val="%2."/>
      <w:lvlJc w:val="left"/>
      <w:pPr>
        <w:ind w:left="1647" w:hanging="360"/>
      </w:pPr>
    </w:lvl>
    <w:lvl w:ilvl="2" w:tplc="3A2ABF1A">
      <w:start w:val="1"/>
      <w:numFmt w:val="lowerRoman"/>
      <w:lvlText w:val="%3."/>
      <w:lvlJc w:val="right"/>
      <w:pPr>
        <w:ind w:left="2367" w:hanging="180"/>
      </w:pPr>
    </w:lvl>
    <w:lvl w:ilvl="3" w:tplc="D45440A6">
      <w:start w:val="1"/>
      <w:numFmt w:val="decimal"/>
      <w:lvlText w:val="%4."/>
      <w:lvlJc w:val="left"/>
      <w:pPr>
        <w:ind w:left="3087" w:hanging="360"/>
      </w:pPr>
    </w:lvl>
    <w:lvl w:ilvl="4" w:tplc="762CD278">
      <w:start w:val="1"/>
      <w:numFmt w:val="lowerLetter"/>
      <w:lvlText w:val="%5."/>
      <w:lvlJc w:val="left"/>
      <w:pPr>
        <w:ind w:left="3807" w:hanging="360"/>
      </w:pPr>
    </w:lvl>
    <w:lvl w:ilvl="5" w:tplc="E370EFB0">
      <w:start w:val="1"/>
      <w:numFmt w:val="lowerRoman"/>
      <w:lvlText w:val="%6."/>
      <w:lvlJc w:val="right"/>
      <w:pPr>
        <w:ind w:left="4527" w:hanging="180"/>
      </w:pPr>
    </w:lvl>
    <w:lvl w:ilvl="6" w:tplc="E5FEC1F0">
      <w:start w:val="1"/>
      <w:numFmt w:val="decimal"/>
      <w:lvlText w:val="%7."/>
      <w:lvlJc w:val="left"/>
      <w:pPr>
        <w:ind w:left="5247" w:hanging="360"/>
      </w:pPr>
    </w:lvl>
    <w:lvl w:ilvl="7" w:tplc="B3229710">
      <w:start w:val="1"/>
      <w:numFmt w:val="lowerLetter"/>
      <w:lvlText w:val="%8."/>
      <w:lvlJc w:val="left"/>
      <w:pPr>
        <w:ind w:left="5967" w:hanging="360"/>
      </w:pPr>
    </w:lvl>
    <w:lvl w:ilvl="8" w:tplc="D916AD10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64E55EA"/>
    <w:multiLevelType w:val="multilevel"/>
    <w:tmpl w:val="427C1C3C"/>
    <w:styleLink w:val="a0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96" w:hanging="340"/>
      </w:pPr>
      <w:rPr>
        <w:rFonts w:hint="default"/>
      </w:rPr>
    </w:lvl>
  </w:abstractNum>
  <w:abstractNum w:abstractNumId="4" w15:restartNumberingAfterBreak="0">
    <w:nsid w:val="76BE28A9"/>
    <w:multiLevelType w:val="hybridMultilevel"/>
    <w:tmpl w:val="0960E0F8"/>
    <w:lvl w:ilvl="0" w:tplc="386015A8">
      <w:start w:val="1"/>
      <w:numFmt w:val="bullet"/>
      <w:pStyle w:val="a1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hint="default"/>
        <w:b w:val="0"/>
        <w:i w:val="0"/>
        <w:color w:val="auto"/>
        <w:sz w:val="20"/>
      </w:rPr>
    </w:lvl>
    <w:lvl w:ilvl="1" w:tplc="2E7C9CEC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hint="default"/>
        <w:color w:val="auto"/>
      </w:rPr>
    </w:lvl>
    <w:lvl w:ilvl="2" w:tplc="9F24D582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hint="default"/>
        <w:color w:val="auto"/>
      </w:rPr>
    </w:lvl>
    <w:lvl w:ilvl="3" w:tplc="698699E2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 w:tplc="05CCCA6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 w:tplc="EB7EFE2E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 w:tplc="B0C27FB2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 w:tplc="716A4894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 w:tplc="D5A482C2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5" w15:restartNumberingAfterBreak="0">
    <w:nsid w:val="783D1B17"/>
    <w:multiLevelType w:val="multilevel"/>
    <w:tmpl w:val="962E0024"/>
    <w:lvl w:ilvl="0">
      <w:start w:val="1"/>
      <w:numFmt w:val="decimal"/>
      <w:pStyle w:val="a2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11"/>
    <w:rsid w:val="002747D0"/>
    <w:rsid w:val="00613711"/>
    <w:rsid w:val="00EE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F6756"/>
  <w15:docId w15:val="{E47A83E4-82ED-4A77-92B3-765BE54F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alibri" w:hAnsi="Courier New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spacing w:before="160"/>
      <w:jc w:val="both"/>
    </w:pPr>
    <w:rPr>
      <w:rFonts w:ascii="Arial" w:hAnsi="Arial"/>
      <w:lang w:eastAsia="en-US"/>
    </w:rPr>
  </w:style>
  <w:style w:type="paragraph" w:styleId="1">
    <w:name w:val="heading 1"/>
    <w:basedOn w:val="a4"/>
    <w:next w:val="a4"/>
    <w:link w:val="10"/>
    <w:qFormat/>
    <w:pPr>
      <w:keepNext/>
      <w:spacing w:before="480"/>
      <w:jc w:val="left"/>
      <w:outlineLvl w:val="0"/>
    </w:pPr>
    <w:rPr>
      <w:rFonts w:cs="Arial"/>
      <w:color w:val="1F497D"/>
      <w:sz w:val="36"/>
      <w:szCs w:val="32"/>
    </w:rPr>
  </w:style>
  <w:style w:type="paragraph" w:styleId="2">
    <w:name w:val="heading 2"/>
    <w:basedOn w:val="a4"/>
    <w:next w:val="a4"/>
    <w:link w:val="20"/>
    <w:qFormat/>
    <w:pPr>
      <w:keepNext/>
      <w:spacing w:before="400" w:after="120"/>
      <w:jc w:val="left"/>
      <w:outlineLvl w:val="1"/>
    </w:pPr>
    <w:rPr>
      <w:color w:val="1F497D"/>
      <w:sz w:val="28"/>
    </w:rPr>
  </w:style>
  <w:style w:type="paragraph" w:styleId="3">
    <w:name w:val="heading 3"/>
    <w:basedOn w:val="a4"/>
    <w:next w:val="a4"/>
    <w:link w:val="30"/>
    <w:qFormat/>
    <w:pPr>
      <w:keepNext/>
      <w:spacing w:before="320" w:after="120"/>
      <w:jc w:val="left"/>
      <w:outlineLvl w:val="2"/>
    </w:pPr>
    <w:rPr>
      <w:color w:val="1F497D"/>
      <w:sz w:val="24"/>
    </w:rPr>
  </w:style>
  <w:style w:type="paragraph" w:styleId="4">
    <w:name w:val="heading 4"/>
    <w:basedOn w:val="a3"/>
    <w:next w:val="a3"/>
    <w:link w:val="40"/>
    <w:qFormat/>
    <w:pPr>
      <w:keepNext/>
      <w:keepLines/>
      <w:spacing w:before="200" w:after="120"/>
      <w:jc w:val="left"/>
      <w:outlineLvl w:val="3"/>
    </w:pPr>
    <w:rPr>
      <w:rFonts w:eastAsia="Times New Roman"/>
      <w:i/>
      <w:color w:val="1F497D"/>
      <w:sz w:val="22"/>
      <w:lang w:eastAsia="ru-RU"/>
    </w:rPr>
  </w:style>
  <w:style w:type="paragraph" w:styleId="5">
    <w:name w:val="heading 5"/>
    <w:basedOn w:val="a3"/>
    <w:next w:val="a3"/>
    <w:link w:val="50"/>
    <w:qFormat/>
    <w:pPr>
      <w:keepNext/>
      <w:spacing w:after="120"/>
      <w:jc w:val="left"/>
      <w:outlineLvl w:val="4"/>
    </w:pPr>
    <w:rPr>
      <w:rFonts w:eastAsia="Times New Roman"/>
      <w:b/>
      <w:color w:val="1F497D"/>
      <w:lang w:eastAsia="ru-RU"/>
    </w:rPr>
  </w:style>
  <w:style w:type="paragraph" w:styleId="6">
    <w:name w:val="heading 6"/>
    <w:basedOn w:val="a3"/>
    <w:next w:val="a3"/>
    <w:link w:val="60"/>
    <w:qFormat/>
    <w:pPr>
      <w:spacing w:before="240" w:after="60"/>
      <w:outlineLvl w:val="5"/>
    </w:pPr>
    <w:rPr>
      <w:rFonts w:eastAsia="Times New Roman"/>
      <w:lang w:eastAsia="ru-RU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jc w:val="left"/>
      <w:outlineLvl w:val="7"/>
    </w:pPr>
    <w:rPr>
      <w:rFonts w:eastAsia="Times New Roman"/>
      <w:color w:val="404040"/>
    </w:rPr>
  </w:style>
  <w:style w:type="paragraph" w:styleId="9">
    <w:name w:val="heading 9"/>
    <w:basedOn w:val="a3"/>
    <w:next w:val="a3"/>
    <w:link w:val="90"/>
    <w:uiPriority w:val="9"/>
    <w:qFormat/>
    <w:pPr>
      <w:keepNext/>
      <w:keepLines/>
      <w:spacing w:before="200"/>
      <w:jc w:val="left"/>
      <w:outlineLvl w:val="8"/>
    </w:pPr>
    <w:rPr>
      <w:rFonts w:eastAsia="Times New Roman"/>
      <w:iCs/>
      <w:color w:val="40404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table" w:styleId="11">
    <w:name w:val="Plain Table 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5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5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5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5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5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5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5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5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5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0">
    <w:name w:val="Таблица простая 1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5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5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5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5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5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5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5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5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5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8">
    <w:name w:val="No Spacing"/>
    <w:uiPriority w:val="1"/>
    <w:qFormat/>
  </w:style>
  <w:style w:type="character" w:customStyle="1" w:styleId="TitleChar">
    <w:name w:val="Title Char"/>
    <w:basedOn w:val="a5"/>
    <w:uiPriority w:val="10"/>
    <w:rPr>
      <w:sz w:val="48"/>
      <w:szCs w:val="48"/>
    </w:rPr>
  </w:style>
  <w:style w:type="paragraph" w:styleId="a9">
    <w:name w:val="Subtitle"/>
    <w:basedOn w:val="a3"/>
    <w:next w:val="a3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5"/>
    <w:link w:val="a9"/>
    <w:uiPriority w:val="11"/>
    <w:rPr>
      <w:sz w:val="24"/>
      <w:szCs w:val="24"/>
    </w:rPr>
  </w:style>
  <w:style w:type="paragraph" w:styleId="22">
    <w:name w:val="Quote"/>
    <w:basedOn w:val="a3"/>
    <w:next w:val="a3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b">
    <w:name w:val="Intense Quote"/>
    <w:basedOn w:val="a3"/>
    <w:next w:val="a3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character" w:customStyle="1" w:styleId="HeaderChar">
    <w:name w:val="Header Char"/>
    <w:basedOn w:val="a5"/>
    <w:uiPriority w:val="99"/>
  </w:style>
  <w:style w:type="character" w:customStyle="1" w:styleId="FooterChar">
    <w:name w:val="Footer Char"/>
    <w:basedOn w:val="a5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1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1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1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1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6"/>
    <w:uiPriority w:val="99"/>
    <w:tblPr>
      <w:tblStyleRowBandSize w:val="1"/>
      <w:tblStyleColBandSize w:val="1"/>
      <w:tblBorders>
        <w:top w:val="single" w:sz="4" w:space="0" w:color="C4E5A0" w:themeColor="accent1" w:themeTint="67"/>
        <w:left w:val="single" w:sz="4" w:space="0" w:color="C4E5A0" w:themeColor="accent1" w:themeTint="67"/>
        <w:bottom w:val="single" w:sz="4" w:space="0" w:color="C4E5A0" w:themeColor="accent1" w:themeTint="67"/>
        <w:right w:val="single" w:sz="4" w:space="0" w:color="C4E5A0" w:themeColor="accent1" w:themeTint="67"/>
        <w:insideH w:val="single" w:sz="4" w:space="0" w:color="C4E5A0" w:themeColor="accent1" w:themeTint="67"/>
        <w:insideV w:val="single" w:sz="4" w:space="0" w:color="C4E5A0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A7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E5A0" w:themeColor="accent1" w:themeTint="67"/>
          <w:left w:val="single" w:sz="4" w:space="0" w:color="C4E5A0" w:themeColor="accent1" w:themeTint="67"/>
          <w:bottom w:val="single" w:sz="4" w:space="0" w:color="C4E5A0" w:themeColor="accent1" w:themeTint="67"/>
          <w:right w:val="single" w:sz="4" w:space="0" w:color="C4E5A0" w:themeColor="accent1" w:themeTint="67"/>
        </w:tcBorders>
      </w:tcPr>
    </w:tblStylePr>
  </w:style>
  <w:style w:type="table" w:customStyle="1" w:styleId="GridTable1Light-Accent2">
    <w:name w:val="Grid Table 1 Light - Accent 2"/>
    <w:basedOn w:val="a6"/>
    <w:uiPriority w:val="99"/>
    <w:tblPr>
      <w:tblStyleRowBandSize w:val="1"/>
      <w:tblStyleColBandSize w:val="1"/>
      <w:tblBorders>
        <w:top w:val="single" w:sz="4" w:space="0" w:color="C7C4C4" w:themeColor="accent2" w:themeTint="67"/>
        <w:left w:val="single" w:sz="4" w:space="0" w:color="C7C4C4" w:themeColor="accent2" w:themeTint="67"/>
        <w:bottom w:val="single" w:sz="4" w:space="0" w:color="C7C4C4" w:themeColor="accent2" w:themeTint="67"/>
        <w:right w:val="single" w:sz="4" w:space="0" w:color="C7C4C4" w:themeColor="accent2" w:themeTint="67"/>
        <w:insideH w:val="single" w:sz="4" w:space="0" w:color="C7C4C4" w:themeColor="accent2" w:themeTint="67"/>
        <w:insideV w:val="single" w:sz="4" w:space="0" w:color="C7C4C4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EABA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C4C4" w:themeColor="accent2" w:themeTint="67"/>
          <w:left w:val="single" w:sz="4" w:space="0" w:color="C7C4C4" w:themeColor="accent2" w:themeTint="67"/>
          <w:bottom w:val="single" w:sz="4" w:space="0" w:color="C7C4C4" w:themeColor="accent2" w:themeTint="67"/>
          <w:right w:val="single" w:sz="4" w:space="0" w:color="C7C4C4" w:themeColor="accent2" w:themeTint="67"/>
        </w:tcBorders>
      </w:tcPr>
    </w:tblStylePr>
  </w:style>
  <w:style w:type="table" w:customStyle="1" w:styleId="GridTable1Light-Accent3">
    <w:name w:val="Grid Table 1 Light - Accent 3"/>
    <w:basedOn w:val="a6"/>
    <w:uiPriority w:val="99"/>
    <w:tblPr>
      <w:tblStyleRowBandSize w:val="1"/>
      <w:tblStyleColBandSize w:val="1"/>
      <w:tblBorders>
        <w:top w:val="single" w:sz="4" w:space="0" w:color="FEB1B1" w:themeColor="accent3" w:themeTint="67"/>
        <w:left w:val="single" w:sz="4" w:space="0" w:color="FEB1B1" w:themeColor="accent3" w:themeTint="67"/>
        <w:bottom w:val="single" w:sz="4" w:space="0" w:color="FEB1B1" w:themeColor="accent3" w:themeTint="67"/>
        <w:right w:val="single" w:sz="4" w:space="0" w:color="FEB1B1" w:themeColor="accent3" w:themeTint="67"/>
        <w:insideH w:val="single" w:sz="4" w:space="0" w:color="FEB1B1" w:themeColor="accent3" w:themeTint="67"/>
        <w:insideV w:val="single" w:sz="4" w:space="0" w:color="FEB1B1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E8E8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B1B1" w:themeColor="accent3" w:themeTint="67"/>
          <w:left w:val="single" w:sz="4" w:space="0" w:color="FEB1B1" w:themeColor="accent3" w:themeTint="67"/>
          <w:bottom w:val="single" w:sz="4" w:space="0" w:color="FEB1B1" w:themeColor="accent3" w:themeTint="67"/>
          <w:right w:val="single" w:sz="4" w:space="0" w:color="FEB1B1" w:themeColor="accent3" w:themeTint="67"/>
        </w:tcBorders>
      </w:tcPr>
    </w:tblStylePr>
  </w:style>
  <w:style w:type="table" w:customStyle="1" w:styleId="GridTable1Light-Accent4">
    <w:name w:val="Grid Table 1 Light - Accent 4"/>
    <w:basedOn w:val="a6"/>
    <w:uiPriority w:val="99"/>
    <w:tblPr>
      <w:tblStyleRowBandSize w:val="1"/>
      <w:tblStyleColBandSize w:val="1"/>
      <w:tblBorders>
        <w:top w:val="single" w:sz="4" w:space="0" w:color="CBCBCB" w:themeColor="accent4" w:themeTint="67"/>
        <w:left w:val="single" w:sz="4" w:space="0" w:color="CBCBCB" w:themeColor="accent4" w:themeTint="67"/>
        <w:bottom w:val="single" w:sz="4" w:space="0" w:color="CBCBCB" w:themeColor="accent4" w:themeTint="67"/>
        <w:right w:val="single" w:sz="4" w:space="0" w:color="CBCBCB" w:themeColor="accent4" w:themeTint="67"/>
        <w:insideH w:val="single" w:sz="4" w:space="0" w:color="CBCBCB" w:themeColor="accent4" w:themeTint="67"/>
        <w:insideV w:val="single" w:sz="4" w:space="0" w:color="CBCBCB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B4B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BCB" w:themeColor="accent4" w:themeTint="67"/>
          <w:left w:val="single" w:sz="4" w:space="0" w:color="CBCBCB" w:themeColor="accent4" w:themeTint="67"/>
          <w:bottom w:val="single" w:sz="4" w:space="0" w:color="CBCBCB" w:themeColor="accent4" w:themeTint="67"/>
          <w:right w:val="single" w:sz="4" w:space="0" w:color="CBCBCB" w:themeColor="accent4" w:themeTint="67"/>
        </w:tcBorders>
      </w:tcPr>
    </w:tblStylePr>
  </w:style>
  <w:style w:type="table" w:customStyle="1" w:styleId="GridTable1Light-Accent5">
    <w:name w:val="Grid Table 1 Light - Accent 5"/>
    <w:basedOn w:val="a6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6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6"/>
    <w:uiPriority w:val="99"/>
    <w:tblPr>
      <w:tblStyleRowBandSize w:val="1"/>
      <w:tblStyleColBandSize w:val="1"/>
      <w:tblBorders>
        <w:bottom w:val="single" w:sz="4" w:space="0" w:color="7ABC32" w:themeColor="accent1" w:themeTint="EA"/>
        <w:insideH w:val="single" w:sz="4" w:space="0" w:color="7ABC32" w:themeColor="accent1" w:themeTint="EA"/>
        <w:insideV w:val="single" w:sz="4" w:space="0" w:color="7ABC3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ABC3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ABC3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F2CF" w:themeColor="accent1" w:themeTint="34" w:fill="E1F2C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F2CF" w:themeColor="accent1" w:themeTint="34" w:fill="E1F2CF" w:themeFill="accent1" w:themeFillTint="34"/>
      </w:tcPr>
    </w:tblStylePr>
  </w:style>
  <w:style w:type="table" w:customStyle="1" w:styleId="GridTable2-Accent2">
    <w:name w:val="Grid Table 2 - Accent 2"/>
    <w:basedOn w:val="a6"/>
    <w:uiPriority w:val="99"/>
    <w:tblPr>
      <w:tblStyleRowBandSize w:val="1"/>
      <w:tblStyleColBandSize w:val="1"/>
      <w:tblBorders>
        <w:bottom w:val="single" w:sz="4" w:space="0" w:color="ADA9A9" w:themeColor="accent2" w:themeTint="97"/>
        <w:insideH w:val="single" w:sz="4" w:space="0" w:color="ADA9A9" w:themeColor="accent2" w:themeTint="97"/>
        <w:insideV w:val="single" w:sz="4" w:space="0" w:color="ADA9A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DA9A9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DA9A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</w:style>
  <w:style w:type="table" w:customStyle="1" w:styleId="GridTable2-Accent3">
    <w:name w:val="Grid Table 2 - Accent 3"/>
    <w:basedOn w:val="a6"/>
    <w:uiPriority w:val="99"/>
    <w:tblPr>
      <w:tblStyleRowBandSize w:val="1"/>
      <w:tblStyleColBandSize w:val="1"/>
      <w:tblBorders>
        <w:bottom w:val="single" w:sz="4" w:space="0" w:color="FE3F3F" w:themeColor="accent3" w:themeTint="FE"/>
        <w:insideH w:val="single" w:sz="4" w:space="0" w:color="FE3F3F" w:themeColor="accent3" w:themeTint="FE"/>
        <w:insideV w:val="single" w:sz="4" w:space="0" w:color="FE3F3F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E3F3F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E3F3F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</w:style>
  <w:style w:type="table" w:customStyle="1" w:styleId="GridTable2-Accent4">
    <w:name w:val="Grid Table 2 - Accent 4"/>
    <w:basedOn w:val="a6"/>
    <w:uiPriority w:val="99"/>
    <w:tblPr>
      <w:tblStyleRowBandSize w:val="1"/>
      <w:tblStyleColBandSize w:val="1"/>
      <w:tblBorders>
        <w:bottom w:val="single" w:sz="4" w:space="0" w:color="B1B1B1" w:themeColor="accent4" w:themeTint="9A"/>
        <w:insideH w:val="single" w:sz="4" w:space="0" w:color="B1B1B1" w:themeColor="accent4" w:themeTint="9A"/>
        <w:insideV w:val="single" w:sz="4" w:space="0" w:color="B1B1B1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1B1B1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1B1B1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</w:style>
  <w:style w:type="table" w:customStyle="1" w:styleId="GridTable2-Accent5">
    <w:name w:val="Grid Table 2 - Accent 5"/>
    <w:basedOn w:val="a6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6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6"/>
    <w:uiPriority w:val="99"/>
    <w:tblPr>
      <w:tblStyleRowBandSize w:val="1"/>
      <w:tblStyleColBandSize w:val="1"/>
      <w:tblBorders>
        <w:bottom w:val="single" w:sz="4" w:space="0" w:color="7ABC32" w:themeColor="accent1" w:themeTint="EA"/>
        <w:insideH w:val="single" w:sz="4" w:space="0" w:color="7ABC32" w:themeColor="accent1" w:themeTint="EA"/>
        <w:insideV w:val="single" w:sz="4" w:space="0" w:color="7ABC3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F2CF" w:themeColor="accent1" w:themeTint="34" w:fill="E1F2C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F2CF" w:themeColor="accent1" w:themeTint="34" w:fill="E1F2CF" w:themeFill="accent1" w:themeFillTint="34"/>
      </w:tcPr>
    </w:tblStylePr>
  </w:style>
  <w:style w:type="table" w:customStyle="1" w:styleId="GridTable3-Accent2">
    <w:name w:val="Grid Table 3 - Accent 2"/>
    <w:basedOn w:val="a6"/>
    <w:uiPriority w:val="99"/>
    <w:tblPr>
      <w:tblStyleRowBandSize w:val="1"/>
      <w:tblStyleColBandSize w:val="1"/>
      <w:tblBorders>
        <w:bottom w:val="single" w:sz="4" w:space="0" w:color="ADA9A9" w:themeColor="accent2" w:themeTint="97"/>
        <w:insideH w:val="single" w:sz="4" w:space="0" w:color="ADA9A9" w:themeColor="accent2" w:themeTint="97"/>
        <w:insideV w:val="single" w:sz="4" w:space="0" w:color="ADA9A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</w:style>
  <w:style w:type="table" w:customStyle="1" w:styleId="GridTable3-Accent3">
    <w:name w:val="Grid Table 3 - Accent 3"/>
    <w:basedOn w:val="a6"/>
    <w:uiPriority w:val="99"/>
    <w:tblPr>
      <w:tblStyleRowBandSize w:val="1"/>
      <w:tblStyleColBandSize w:val="1"/>
      <w:tblBorders>
        <w:bottom w:val="single" w:sz="4" w:space="0" w:color="FE3F3F" w:themeColor="accent3" w:themeTint="FE"/>
        <w:insideH w:val="single" w:sz="4" w:space="0" w:color="FE3F3F" w:themeColor="accent3" w:themeTint="FE"/>
        <w:insideV w:val="single" w:sz="4" w:space="0" w:color="FE3F3F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</w:style>
  <w:style w:type="table" w:customStyle="1" w:styleId="GridTable3-Accent4">
    <w:name w:val="Grid Table 3 - Accent 4"/>
    <w:basedOn w:val="a6"/>
    <w:uiPriority w:val="99"/>
    <w:tblPr>
      <w:tblStyleRowBandSize w:val="1"/>
      <w:tblStyleColBandSize w:val="1"/>
      <w:tblBorders>
        <w:bottom w:val="single" w:sz="4" w:space="0" w:color="B1B1B1" w:themeColor="accent4" w:themeTint="9A"/>
        <w:insideH w:val="single" w:sz="4" w:space="0" w:color="B1B1B1" w:themeColor="accent4" w:themeTint="9A"/>
        <w:insideV w:val="single" w:sz="4" w:space="0" w:color="B1B1B1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</w:style>
  <w:style w:type="table" w:customStyle="1" w:styleId="GridTable3-Accent5">
    <w:name w:val="Grid Table 3 - Accent 5"/>
    <w:basedOn w:val="a6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6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1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6"/>
    <w:uiPriority w:val="59"/>
    <w:tblPr>
      <w:tblStyleRowBandSize w:val="1"/>
      <w:tblStyleColBandSize w:val="1"/>
      <w:tblBorders>
        <w:top w:val="single" w:sz="4" w:space="0" w:color="ADDB7A" w:themeColor="accent1" w:themeTint="90"/>
        <w:left w:val="single" w:sz="4" w:space="0" w:color="ADDB7A" w:themeColor="accent1" w:themeTint="90"/>
        <w:bottom w:val="single" w:sz="4" w:space="0" w:color="ADDB7A" w:themeColor="accent1" w:themeTint="90"/>
        <w:right w:val="single" w:sz="4" w:space="0" w:color="ADDB7A" w:themeColor="accent1" w:themeTint="90"/>
        <w:insideH w:val="single" w:sz="4" w:space="0" w:color="ADDB7A" w:themeColor="accent1" w:themeTint="90"/>
        <w:insideV w:val="single" w:sz="4" w:space="0" w:color="ADDB7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ABC32" w:themeColor="accent1" w:themeTint="EA"/>
          <w:left w:val="single" w:sz="4" w:space="0" w:color="7ABC32" w:themeColor="accent1" w:themeTint="EA"/>
          <w:bottom w:val="single" w:sz="4" w:space="0" w:color="7ABC32" w:themeColor="accent1" w:themeTint="EA"/>
          <w:right w:val="single" w:sz="4" w:space="0" w:color="7ABC32" w:themeColor="accent1" w:themeTint="EA"/>
        </w:tcBorders>
        <w:shd w:val="clear" w:color="7ABC32" w:themeColor="accent1" w:themeTint="EA" w:fill="7ABC3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7ABC3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2F2D0" w:themeColor="accent1" w:themeTint="32" w:fill="E2F2D0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2F2D0" w:themeColor="accent1" w:themeTint="32" w:fill="E2F2D0" w:themeFill="accent1" w:themeFillTint="32"/>
      </w:tcPr>
    </w:tblStylePr>
  </w:style>
  <w:style w:type="table" w:customStyle="1" w:styleId="GridTable4-Accent2">
    <w:name w:val="Grid Table 4 - Accent 2"/>
    <w:basedOn w:val="a6"/>
    <w:uiPriority w:val="59"/>
    <w:tblPr>
      <w:tblStyleRowBandSize w:val="1"/>
      <w:tblStyleColBandSize w:val="1"/>
      <w:tblBorders>
        <w:top w:val="single" w:sz="4" w:space="0" w:color="B1ADAD" w:themeColor="accent2" w:themeTint="90"/>
        <w:left w:val="single" w:sz="4" w:space="0" w:color="B1ADAD" w:themeColor="accent2" w:themeTint="90"/>
        <w:bottom w:val="single" w:sz="4" w:space="0" w:color="B1ADAD" w:themeColor="accent2" w:themeTint="90"/>
        <w:right w:val="single" w:sz="4" w:space="0" w:color="B1ADAD" w:themeColor="accent2" w:themeTint="90"/>
        <w:insideH w:val="single" w:sz="4" w:space="0" w:color="B1ADAD" w:themeColor="accent2" w:themeTint="90"/>
        <w:insideV w:val="single" w:sz="4" w:space="0" w:color="B1ADAD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DA9A9" w:themeColor="accent2" w:themeTint="97"/>
          <w:left w:val="single" w:sz="4" w:space="0" w:color="ADA9A9" w:themeColor="accent2" w:themeTint="97"/>
          <w:bottom w:val="single" w:sz="4" w:space="0" w:color="ADA9A9" w:themeColor="accent2" w:themeTint="97"/>
          <w:right w:val="single" w:sz="4" w:space="0" w:color="ADA9A9" w:themeColor="accent2" w:themeTint="97"/>
        </w:tcBorders>
        <w:shd w:val="clear" w:color="ADA9A9" w:themeColor="accent2" w:themeTint="97" w:fill="ADA9A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ADA9A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</w:style>
  <w:style w:type="table" w:customStyle="1" w:styleId="GridTable4-Accent3">
    <w:name w:val="Grid Table 4 - Accent 3"/>
    <w:basedOn w:val="a6"/>
    <w:uiPriority w:val="59"/>
    <w:tblPr>
      <w:tblStyleRowBandSize w:val="1"/>
      <w:tblStyleColBandSize w:val="1"/>
      <w:tblBorders>
        <w:top w:val="single" w:sz="4" w:space="0" w:color="FE9292" w:themeColor="accent3" w:themeTint="90"/>
        <w:left w:val="single" w:sz="4" w:space="0" w:color="FE9292" w:themeColor="accent3" w:themeTint="90"/>
        <w:bottom w:val="single" w:sz="4" w:space="0" w:color="FE9292" w:themeColor="accent3" w:themeTint="90"/>
        <w:right w:val="single" w:sz="4" w:space="0" w:color="FE9292" w:themeColor="accent3" w:themeTint="90"/>
        <w:insideH w:val="single" w:sz="4" w:space="0" w:color="FE9292" w:themeColor="accent3" w:themeTint="90"/>
        <w:insideV w:val="single" w:sz="4" w:space="0" w:color="FE9292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E3F3F" w:themeColor="accent3" w:themeTint="FE"/>
          <w:left w:val="single" w:sz="4" w:space="0" w:color="FE3F3F" w:themeColor="accent3" w:themeTint="FE"/>
          <w:bottom w:val="single" w:sz="4" w:space="0" w:color="FE3F3F" w:themeColor="accent3" w:themeTint="FE"/>
          <w:right w:val="single" w:sz="4" w:space="0" w:color="FE3F3F" w:themeColor="accent3" w:themeTint="FE"/>
        </w:tcBorders>
        <w:shd w:val="clear" w:color="FE3F3F" w:themeColor="accent3" w:themeTint="FE" w:fill="FE3F3F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FE3F3F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</w:style>
  <w:style w:type="table" w:customStyle="1" w:styleId="GridTable4-Accent4">
    <w:name w:val="Grid Table 4 - Accent 4"/>
    <w:basedOn w:val="a6"/>
    <w:uiPriority w:val="59"/>
    <w:tblPr>
      <w:tblStyleRowBandSize w:val="1"/>
      <w:tblStyleColBandSize w:val="1"/>
      <w:tblBorders>
        <w:top w:val="single" w:sz="4" w:space="0" w:color="B6B6B6" w:themeColor="accent4" w:themeTint="90"/>
        <w:left w:val="single" w:sz="4" w:space="0" w:color="B6B6B6" w:themeColor="accent4" w:themeTint="90"/>
        <w:bottom w:val="single" w:sz="4" w:space="0" w:color="B6B6B6" w:themeColor="accent4" w:themeTint="90"/>
        <w:right w:val="single" w:sz="4" w:space="0" w:color="B6B6B6" w:themeColor="accent4" w:themeTint="90"/>
        <w:insideH w:val="single" w:sz="4" w:space="0" w:color="B6B6B6" w:themeColor="accent4" w:themeTint="90"/>
        <w:insideV w:val="single" w:sz="4" w:space="0" w:color="B6B6B6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1B1B1" w:themeColor="accent4" w:themeTint="9A"/>
          <w:left w:val="single" w:sz="4" w:space="0" w:color="B1B1B1" w:themeColor="accent4" w:themeTint="9A"/>
          <w:bottom w:val="single" w:sz="4" w:space="0" w:color="B1B1B1" w:themeColor="accent4" w:themeTint="9A"/>
          <w:right w:val="single" w:sz="4" w:space="0" w:color="B1B1B1" w:themeColor="accent4" w:themeTint="9A"/>
        </w:tcBorders>
        <w:shd w:val="clear" w:color="B1B1B1" w:themeColor="accent4" w:themeTint="9A" w:fill="B1B1B1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1B1B1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</w:style>
  <w:style w:type="table" w:customStyle="1" w:styleId="GridTable4-Accent5">
    <w:name w:val="Grid Table 4 - Accent 5"/>
    <w:basedOn w:val="a6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6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F2CF" w:themeColor="accent1" w:themeTint="34" w:fill="E1F2CF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EA92D" w:themeColor="accent1" w:fill="6EA92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6EA92D" w:themeColor="accent1" w:fill="6EA92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6EA92D" w:themeColor="accent1" w:fill="6EA92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6EA92D" w:themeColor="accent1" w:fill="6EA92D" w:themeFill="accent1"/>
      </w:tcPr>
    </w:tblStylePr>
    <w:tblStylePr w:type="band1Vert">
      <w:tblPr/>
      <w:tcPr>
        <w:shd w:val="clear" w:color="BCE293" w:themeColor="accent1" w:themeTint="75" w:fill="BCE293" w:themeFill="accent1" w:themeFillTint="75"/>
      </w:tcPr>
    </w:tblStylePr>
    <w:tblStylePr w:type="band1Horz">
      <w:tblPr/>
      <w:tcPr>
        <w:shd w:val="clear" w:color="BCE293" w:themeColor="accent1" w:themeTint="75" w:fill="BCE293" w:themeFill="accent1" w:themeFillTint="75"/>
      </w:tcPr>
    </w:tblStylePr>
  </w:style>
  <w:style w:type="table" w:customStyle="1" w:styleId="GridTable5Dark-Accent2">
    <w:name w:val="Grid Table 5 Dark - Accent 2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4E2E2" w:themeColor="accent2" w:themeTint="32" w:fill="E4E2E2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7070" w:themeColor="accent2" w:fill="757070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57070" w:themeColor="accent2" w:fill="757070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57070" w:themeColor="accent2" w:fill="757070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57070" w:themeColor="accent2" w:fill="757070" w:themeFill="accent2"/>
      </w:tcPr>
    </w:tblStylePr>
    <w:tblStylePr w:type="band1Vert">
      <w:tblPr/>
      <w:tcPr>
        <w:shd w:val="clear" w:color="C0BDBD" w:themeColor="accent2" w:themeTint="75" w:fill="C0BDBD" w:themeFill="accent2" w:themeFillTint="75"/>
      </w:tcPr>
    </w:tblStylePr>
    <w:tblStylePr w:type="band1Horz">
      <w:tblPr/>
      <w:tcPr>
        <w:shd w:val="clear" w:color="C0BDBD" w:themeColor="accent2" w:themeTint="75" w:fill="C0BDBD" w:themeFill="accent2" w:themeFillTint="75"/>
      </w:tcPr>
    </w:tblStylePr>
  </w:style>
  <w:style w:type="table" w:customStyle="1" w:styleId="GridTable5Dark-Accent3">
    <w:name w:val="Grid Table 5 Dark - Accent 3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ED7D7" w:themeColor="accent3" w:themeTint="34" w:fill="FED7D7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E3F3F" w:themeColor="accent3" w:fill="FE3F3F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E3F3F" w:themeColor="accent3" w:fill="FE3F3F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E3F3F" w:themeColor="accent3" w:fill="FE3F3F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E3F3F" w:themeColor="accent3" w:fill="FE3F3F" w:themeFill="accent3"/>
      </w:tcPr>
    </w:tblStylePr>
    <w:tblStylePr w:type="band1Vert">
      <w:tblPr/>
      <w:tcPr>
        <w:shd w:val="clear" w:color="FEA6A6" w:themeColor="accent3" w:themeTint="75" w:fill="FEA6A6" w:themeFill="accent3" w:themeFillTint="75"/>
      </w:tcPr>
    </w:tblStylePr>
    <w:tblStylePr w:type="band1Horz">
      <w:tblPr/>
      <w:tcPr>
        <w:shd w:val="clear" w:color="FEA6A6" w:themeColor="accent3" w:themeTint="75" w:fill="FEA6A6" w:themeFill="accent3" w:themeFillTint="75"/>
      </w:tcPr>
    </w:tblStylePr>
  </w:style>
  <w:style w:type="table" w:customStyle="1" w:styleId="GridTable5Dark-Accent4">
    <w:name w:val="Grid Table 5 Dark- Accent 4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4E4E4" w:themeColor="accent4" w:themeTint="34" w:fill="E4E4E4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F7F7F" w:themeColor="accent4" w:fill="7F7F7F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F7F7F" w:themeColor="accent4" w:fill="7F7F7F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F7F7F" w:themeColor="accent4" w:fill="7F7F7F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F7F7F" w:themeColor="accent4" w:fill="7F7F7F" w:themeFill="accent4"/>
      </w:tcPr>
    </w:tblStylePr>
    <w:tblStylePr w:type="band1Vert">
      <w:tblPr/>
      <w:tcPr>
        <w:shd w:val="clear" w:color="C4C4C4" w:themeColor="accent4" w:themeTint="75" w:fill="C4C4C4" w:themeFill="accent4" w:themeFillTint="75"/>
      </w:tcPr>
    </w:tblStylePr>
    <w:tblStylePr w:type="band1Horz">
      <w:tblPr/>
      <w:tcPr>
        <w:shd w:val="clear" w:color="C4C4C4" w:themeColor="accent4" w:themeTint="75" w:fill="C4C4C4" w:themeFill="accent4" w:themeFillTint="75"/>
      </w:tcPr>
    </w:tblStylePr>
  </w:style>
  <w:style w:type="table" w:customStyle="1" w:styleId="GridTable5Dark-Accent5">
    <w:name w:val="Grid Table 5 Dark - Accent 5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6"/>
    <w:uiPriority w:val="99"/>
    <w:tblPr>
      <w:tblStyleRowBandSize w:val="1"/>
      <w:tblStyleColBandSize w:val="1"/>
      <w:tblBorders>
        <w:top w:val="single" w:sz="4" w:space="0" w:color="B6DF89" w:themeColor="accent1" w:themeTint="80"/>
        <w:left w:val="single" w:sz="4" w:space="0" w:color="B6DF89" w:themeColor="accent1" w:themeTint="80"/>
        <w:bottom w:val="single" w:sz="4" w:space="0" w:color="B6DF89" w:themeColor="accent1" w:themeTint="80"/>
        <w:right w:val="single" w:sz="4" w:space="0" w:color="B6DF89" w:themeColor="accent1" w:themeTint="80"/>
        <w:insideH w:val="single" w:sz="4" w:space="0" w:color="B6DF89" w:themeColor="accent1" w:themeTint="80"/>
        <w:insideV w:val="single" w:sz="4" w:space="0" w:color="B6DF89" w:themeColor="accent1" w:themeTint="80"/>
      </w:tblBorders>
    </w:tblPr>
    <w:tblStylePr w:type="firstRow">
      <w:rPr>
        <w:b/>
        <w:color w:val="B6DF89" w:themeColor="accent1" w:themeTint="80" w:themeShade="95"/>
      </w:rPr>
      <w:tblPr/>
      <w:tcPr>
        <w:tcBorders>
          <w:bottom w:val="single" w:sz="12" w:space="0" w:color="B6DF89" w:themeColor="accent1" w:themeTint="80"/>
        </w:tcBorders>
      </w:tcPr>
    </w:tblStylePr>
    <w:tblStylePr w:type="lastRow">
      <w:rPr>
        <w:b/>
        <w:color w:val="B6DF89" w:themeColor="accent1" w:themeTint="80" w:themeShade="95"/>
      </w:rPr>
    </w:tblStylePr>
    <w:tblStylePr w:type="firstCol">
      <w:rPr>
        <w:b/>
        <w:color w:val="B6DF89" w:themeColor="accent1" w:themeTint="80" w:themeShade="95"/>
      </w:rPr>
    </w:tblStylePr>
    <w:tblStylePr w:type="lastCol">
      <w:rPr>
        <w:b/>
        <w:color w:val="B6DF89" w:themeColor="accent1" w:themeTint="80" w:themeShade="95"/>
      </w:rPr>
    </w:tblStylePr>
    <w:tblStylePr w:type="band1Vert">
      <w:tblPr/>
      <w:tcPr>
        <w:shd w:val="clear" w:color="E1F2CF" w:themeColor="accent1" w:themeTint="34" w:fill="E1F2CF" w:themeFill="accent1" w:themeFillTint="34"/>
      </w:tcPr>
    </w:tblStylePr>
    <w:tblStylePr w:type="band1Horz">
      <w:rPr>
        <w:rFonts w:ascii="Arial" w:hAnsi="Arial"/>
        <w:color w:val="B6DF89" w:themeColor="accent1" w:themeTint="80" w:themeShade="95"/>
        <w:sz w:val="22"/>
      </w:rPr>
      <w:tblPr/>
      <w:tcPr>
        <w:shd w:val="clear" w:color="E1F2CF" w:themeColor="accent1" w:themeTint="34" w:fill="E1F2CF" w:themeFill="accent1" w:themeFillTint="34"/>
      </w:tcPr>
    </w:tblStylePr>
    <w:tblStylePr w:type="band2Horz">
      <w:rPr>
        <w:rFonts w:ascii="Arial" w:hAnsi="Arial"/>
        <w:color w:val="B6DF89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6"/>
    <w:uiPriority w:val="99"/>
    <w:tblPr>
      <w:tblStyleRowBandSize w:val="1"/>
      <w:tblStyleColBandSize w:val="1"/>
      <w:tblBorders>
        <w:top w:val="single" w:sz="4" w:space="0" w:color="ADA9A9" w:themeColor="accent2" w:themeTint="97"/>
        <w:left w:val="single" w:sz="4" w:space="0" w:color="ADA9A9" w:themeColor="accent2" w:themeTint="97"/>
        <w:bottom w:val="single" w:sz="4" w:space="0" w:color="ADA9A9" w:themeColor="accent2" w:themeTint="97"/>
        <w:right w:val="single" w:sz="4" w:space="0" w:color="ADA9A9" w:themeColor="accent2" w:themeTint="97"/>
        <w:insideH w:val="single" w:sz="4" w:space="0" w:color="ADA9A9" w:themeColor="accent2" w:themeTint="97"/>
        <w:insideV w:val="single" w:sz="4" w:space="0" w:color="ADA9A9" w:themeColor="accent2" w:themeTint="97"/>
      </w:tblBorders>
    </w:tblPr>
    <w:tblStylePr w:type="firstRow">
      <w:rPr>
        <w:b/>
        <w:color w:val="ADA9A9" w:themeColor="accent2" w:themeTint="97" w:themeShade="95"/>
      </w:rPr>
      <w:tblPr/>
      <w:tcPr>
        <w:tcBorders>
          <w:bottom w:val="single" w:sz="12" w:space="0" w:color="ADA9A9" w:themeColor="accent2" w:themeTint="97"/>
        </w:tcBorders>
      </w:tcPr>
    </w:tblStylePr>
    <w:tblStylePr w:type="lastRow">
      <w:rPr>
        <w:b/>
        <w:color w:val="ADA9A9" w:themeColor="accent2" w:themeTint="97" w:themeShade="95"/>
      </w:rPr>
    </w:tblStylePr>
    <w:tblStylePr w:type="firstCol">
      <w:rPr>
        <w:b/>
        <w:color w:val="ADA9A9" w:themeColor="accent2" w:themeTint="97" w:themeShade="95"/>
      </w:rPr>
    </w:tblStylePr>
    <w:tblStylePr w:type="lastCol">
      <w:rPr>
        <w:b/>
        <w:color w:val="ADA9A9" w:themeColor="accent2" w:themeTint="97" w:themeShade="95"/>
      </w:rPr>
    </w:tblStylePr>
    <w:tblStylePr w:type="band1Vert"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ADA9A9" w:themeColor="accent2" w:themeTint="97" w:themeShade="95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2Horz">
      <w:rPr>
        <w:rFonts w:ascii="Arial" w:hAnsi="Arial"/>
        <w:color w:val="ADA9A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6"/>
    <w:uiPriority w:val="99"/>
    <w:tblPr>
      <w:tblStyleRowBandSize w:val="1"/>
      <w:tblStyleColBandSize w:val="1"/>
      <w:tblBorders>
        <w:top w:val="single" w:sz="4" w:space="0" w:color="FE3F3F" w:themeColor="accent3" w:themeTint="FE"/>
        <w:left w:val="single" w:sz="4" w:space="0" w:color="FE3F3F" w:themeColor="accent3" w:themeTint="FE"/>
        <w:bottom w:val="single" w:sz="4" w:space="0" w:color="FE3F3F" w:themeColor="accent3" w:themeTint="FE"/>
        <w:right w:val="single" w:sz="4" w:space="0" w:color="FE3F3F" w:themeColor="accent3" w:themeTint="FE"/>
        <w:insideH w:val="single" w:sz="4" w:space="0" w:color="FE3F3F" w:themeColor="accent3" w:themeTint="FE"/>
        <w:insideV w:val="single" w:sz="4" w:space="0" w:color="FE3F3F" w:themeColor="accent3" w:themeTint="FE"/>
      </w:tblBorders>
    </w:tblPr>
    <w:tblStylePr w:type="firstRow">
      <w:rPr>
        <w:b/>
        <w:color w:val="FE3F3F" w:themeColor="accent3" w:themeTint="FE" w:themeShade="95"/>
      </w:rPr>
      <w:tblPr/>
      <w:tcPr>
        <w:tcBorders>
          <w:bottom w:val="single" w:sz="12" w:space="0" w:color="FE3F3F" w:themeColor="accent3" w:themeTint="FE"/>
        </w:tcBorders>
      </w:tcPr>
    </w:tblStylePr>
    <w:tblStylePr w:type="lastRow">
      <w:rPr>
        <w:b/>
        <w:color w:val="FE3F3F" w:themeColor="accent3" w:themeTint="FE" w:themeShade="95"/>
      </w:rPr>
    </w:tblStylePr>
    <w:tblStylePr w:type="firstCol">
      <w:rPr>
        <w:b/>
        <w:color w:val="FE3F3F" w:themeColor="accent3" w:themeTint="FE" w:themeShade="95"/>
      </w:rPr>
    </w:tblStylePr>
    <w:tblStylePr w:type="lastCol">
      <w:rPr>
        <w:b/>
        <w:color w:val="FE3F3F" w:themeColor="accent3" w:themeTint="FE" w:themeShade="95"/>
      </w:rPr>
    </w:tblStylePr>
    <w:tblStylePr w:type="band1Vert"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FE3F3F" w:themeColor="accent3" w:themeTint="FE" w:themeShade="95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2Horz">
      <w:rPr>
        <w:rFonts w:ascii="Arial" w:hAnsi="Arial"/>
        <w:color w:val="FE3F3F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6"/>
    <w:uiPriority w:val="99"/>
    <w:tblPr>
      <w:tblStyleRowBandSize w:val="1"/>
      <w:tblStyleColBandSize w:val="1"/>
      <w:tblBorders>
        <w:top w:val="single" w:sz="4" w:space="0" w:color="B1B1B1" w:themeColor="accent4" w:themeTint="9A"/>
        <w:left w:val="single" w:sz="4" w:space="0" w:color="B1B1B1" w:themeColor="accent4" w:themeTint="9A"/>
        <w:bottom w:val="single" w:sz="4" w:space="0" w:color="B1B1B1" w:themeColor="accent4" w:themeTint="9A"/>
        <w:right w:val="single" w:sz="4" w:space="0" w:color="B1B1B1" w:themeColor="accent4" w:themeTint="9A"/>
        <w:insideH w:val="single" w:sz="4" w:space="0" w:color="B1B1B1" w:themeColor="accent4" w:themeTint="9A"/>
        <w:insideV w:val="single" w:sz="4" w:space="0" w:color="B1B1B1" w:themeColor="accent4" w:themeTint="9A"/>
      </w:tblBorders>
    </w:tblPr>
    <w:tblStylePr w:type="firstRow">
      <w:rPr>
        <w:b/>
        <w:color w:val="B1B1B1" w:themeColor="accent4" w:themeTint="9A" w:themeShade="95"/>
      </w:rPr>
      <w:tblPr/>
      <w:tcPr>
        <w:tcBorders>
          <w:bottom w:val="single" w:sz="12" w:space="0" w:color="B1B1B1" w:themeColor="accent4" w:themeTint="9A"/>
        </w:tcBorders>
      </w:tcPr>
    </w:tblStylePr>
    <w:tblStylePr w:type="lastRow">
      <w:rPr>
        <w:b/>
        <w:color w:val="B1B1B1" w:themeColor="accent4" w:themeTint="9A" w:themeShade="95"/>
      </w:rPr>
    </w:tblStylePr>
    <w:tblStylePr w:type="firstCol">
      <w:rPr>
        <w:b/>
        <w:color w:val="B1B1B1" w:themeColor="accent4" w:themeTint="9A" w:themeShade="95"/>
      </w:rPr>
    </w:tblStylePr>
    <w:tblStylePr w:type="lastCol">
      <w:rPr>
        <w:b/>
        <w:color w:val="B1B1B1" w:themeColor="accent4" w:themeTint="9A" w:themeShade="95"/>
      </w:rPr>
    </w:tblStylePr>
    <w:tblStylePr w:type="band1Vert"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B1B1B1" w:themeColor="accent4" w:themeTint="9A" w:themeShade="95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2Horz">
      <w:rPr>
        <w:rFonts w:ascii="Arial" w:hAnsi="Arial"/>
        <w:color w:val="B1B1B1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6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6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1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6"/>
    <w:uiPriority w:val="99"/>
    <w:tblPr>
      <w:tblStyleRowBandSize w:val="1"/>
      <w:tblStyleColBandSize w:val="1"/>
      <w:tblBorders>
        <w:bottom w:val="single" w:sz="4" w:space="0" w:color="B6DF89" w:themeColor="accent1" w:themeTint="80"/>
        <w:right w:val="single" w:sz="4" w:space="0" w:color="B6DF89" w:themeColor="accent1" w:themeTint="80"/>
        <w:insideH w:val="single" w:sz="4" w:space="0" w:color="B6DF89" w:themeColor="accent1" w:themeTint="80"/>
        <w:insideV w:val="single" w:sz="4" w:space="0" w:color="B6DF89" w:themeColor="accent1" w:themeTint="80"/>
      </w:tblBorders>
    </w:tblPr>
    <w:tblStylePr w:type="firstRow">
      <w:rPr>
        <w:rFonts w:ascii="Arial" w:hAnsi="Arial"/>
        <w:b/>
        <w:color w:val="B6DF89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6DF89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6DF89" w:themeColor="accent1" w:themeTint="80" w:themeShade="95"/>
        <w:sz w:val="22"/>
      </w:rPr>
      <w:tblPr/>
      <w:tcPr>
        <w:tcBorders>
          <w:top w:val="single" w:sz="4" w:space="0" w:color="B6DF89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6DF89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6DF89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B6DF89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B6DF89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F2CF" w:themeColor="accent1" w:themeTint="34" w:fill="E1F2CF" w:themeFill="accent1" w:themeFillTint="34"/>
      </w:tcPr>
    </w:tblStylePr>
    <w:tblStylePr w:type="band1Horz">
      <w:rPr>
        <w:rFonts w:ascii="Arial" w:hAnsi="Arial"/>
        <w:color w:val="B6DF89" w:themeColor="accent1" w:themeTint="80" w:themeShade="95"/>
        <w:sz w:val="22"/>
      </w:rPr>
      <w:tblPr/>
      <w:tcPr>
        <w:shd w:val="clear" w:color="E1F2CF" w:themeColor="accent1" w:themeTint="34" w:fill="E1F2CF" w:themeFill="accent1" w:themeFillTint="34"/>
      </w:tcPr>
    </w:tblStylePr>
    <w:tblStylePr w:type="band2Horz">
      <w:rPr>
        <w:rFonts w:ascii="Arial" w:hAnsi="Arial"/>
        <w:color w:val="B6DF89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6"/>
    <w:uiPriority w:val="99"/>
    <w:tblPr>
      <w:tblStyleRowBandSize w:val="1"/>
      <w:tblStyleColBandSize w:val="1"/>
      <w:tblBorders>
        <w:bottom w:val="single" w:sz="4" w:space="0" w:color="ADA9A9" w:themeColor="accent2" w:themeTint="97"/>
        <w:right w:val="single" w:sz="4" w:space="0" w:color="ADA9A9" w:themeColor="accent2" w:themeTint="97"/>
        <w:insideH w:val="single" w:sz="4" w:space="0" w:color="ADA9A9" w:themeColor="accent2" w:themeTint="97"/>
        <w:insideV w:val="single" w:sz="4" w:space="0" w:color="ADA9A9" w:themeColor="accent2" w:themeTint="97"/>
      </w:tblBorders>
    </w:tblPr>
    <w:tblStylePr w:type="firstRow">
      <w:rPr>
        <w:rFonts w:ascii="Arial" w:hAnsi="Arial"/>
        <w:b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A9A9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A9A9" w:themeColor="accent2" w:themeTint="97" w:themeShade="95"/>
        <w:sz w:val="22"/>
      </w:rPr>
      <w:tblPr/>
      <w:tcPr>
        <w:tcBorders>
          <w:top w:val="single" w:sz="4" w:space="0" w:color="ADA9A9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A9A9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ADA9A9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ADA9A9" w:themeColor="accent2" w:themeTint="97" w:themeShade="95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2Horz">
      <w:rPr>
        <w:rFonts w:ascii="Arial" w:hAnsi="Arial"/>
        <w:color w:val="ADA9A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6"/>
    <w:uiPriority w:val="99"/>
    <w:tblPr>
      <w:tblStyleRowBandSize w:val="1"/>
      <w:tblStyleColBandSize w:val="1"/>
      <w:tblBorders>
        <w:bottom w:val="single" w:sz="4" w:space="0" w:color="FE3F3F" w:themeColor="accent3" w:themeTint="FE"/>
        <w:right w:val="single" w:sz="4" w:space="0" w:color="FE3F3F" w:themeColor="accent3" w:themeTint="FE"/>
        <w:insideH w:val="single" w:sz="4" w:space="0" w:color="FE3F3F" w:themeColor="accent3" w:themeTint="FE"/>
        <w:insideV w:val="single" w:sz="4" w:space="0" w:color="FE3F3F" w:themeColor="accent3" w:themeTint="FE"/>
      </w:tblBorders>
    </w:tblPr>
    <w:tblStylePr w:type="firstRow">
      <w:rPr>
        <w:rFonts w:ascii="Arial" w:hAnsi="Arial"/>
        <w:b/>
        <w:color w:val="FE3F3F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E3F3F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E3F3F" w:themeColor="accent3" w:themeTint="FE" w:themeShade="95"/>
        <w:sz w:val="22"/>
      </w:rPr>
      <w:tblPr/>
      <w:tcPr>
        <w:tcBorders>
          <w:top w:val="single" w:sz="4" w:space="0" w:color="FE3F3F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3F3F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E3F3F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FE3F3F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FE3F3F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FE3F3F" w:themeColor="accent3" w:themeTint="FE" w:themeShade="95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2Horz">
      <w:rPr>
        <w:rFonts w:ascii="Arial" w:hAnsi="Arial"/>
        <w:color w:val="FE3F3F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6"/>
    <w:uiPriority w:val="99"/>
    <w:tblPr>
      <w:tblStyleRowBandSize w:val="1"/>
      <w:tblStyleColBandSize w:val="1"/>
      <w:tblBorders>
        <w:bottom w:val="single" w:sz="4" w:space="0" w:color="B1B1B1" w:themeColor="accent4" w:themeTint="9A"/>
        <w:right w:val="single" w:sz="4" w:space="0" w:color="B1B1B1" w:themeColor="accent4" w:themeTint="9A"/>
        <w:insideH w:val="single" w:sz="4" w:space="0" w:color="B1B1B1" w:themeColor="accent4" w:themeTint="9A"/>
        <w:insideV w:val="single" w:sz="4" w:space="0" w:color="B1B1B1" w:themeColor="accent4" w:themeTint="9A"/>
      </w:tblBorders>
    </w:tblPr>
    <w:tblStylePr w:type="firstRow">
      <w:rPr>
        <w:rFonts w:ascii="Arial" w:hAnsi="Arial"/>
        <w:b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1B1B1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B1B1" w:themeColor="accent4" w:themeTint="9A" w:themeShade="95"/>
        <w:sz w:val="22"/>
      </w:rPr>
      <w:tblPr/>
      <w:tcPr>
        <w:tcBorders>
          <w:top w:val="single" w:sz="4" w:space="0" w:color="B1B1B1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1B1B1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1B1B1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B1B1B1" w:themeColor="accent4" w:themeTint="9A" w:themeShade="95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2Horz">
      <w:rPr>
        <w:rFonts w:ascii="Arial" w:hAnsi="Arial"/>
        <w:color w:val="B1B1B1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6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6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10">
    <w:name w:val="Список-таблица 1 светлая1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EA92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6EA92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FC4" w:themeColor="accent1" w:themeTint="40" w:fill="DAEFC4" w:themeFill="accent1" w:themeFillTint="40"/>
      </w:tcPr>
    </w:tblStylePr>
    <w:tblStylePr w:type="band1Horz">
      <w:tblPr/>
      <w:tcPr>
        <w:shd w:val="clear" w:color="DAEFC4" w:themeColor="accent1" w:themeTint="40" w:fill="DAEFC4" w:themeFill="accent1" w:themeFillTint="40"/>
      </w:tcPr>
    </w:tblStylePr>
  </w:style>
  <w:style w:type="table" w:customStyle="1" w:styleId="ListTable1Light-Accent2">
    <w:name w:val="List Table 1 Light - Accent 2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57070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57070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CDADA" w:themeColor="accent2" w:themeTint="40" w:fill="DCDADA" w:themeFill="accent2" w:themeFillTint="40"/>
      </w:tcPr>
    </w:tblStylePr>
    <w:tblStylePr w:type="band1Horz">
      <w:tblPr/>
      <w:tcPr>
        <w:shd w:val="clear" w:color="DCDADA" w:themeColor="accent2" w:themeTint="40" w:fill="DCDADA" w:themeFill="accent2" w:themeFillTint="40"/>
      </w:tcPr>
    </w:tblStylePr>
  </w:style>
  <w:style w:type="table" w:customStyle="1" w:styleId="ListTable1Light-Accent3">
    <w:name w:val="List Table 1 Light - Accent 3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E3F3F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E3F3F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ECECE" w:themeColor="accent3" w:themeTint="40" w:fill="FECECE" w:themeFill="accent3" w:themeFillTint="40"/>
      </w:tcPr>
    </w:tblStylePr>
    <w:tblStylePr w:type="band1Horz">
      <w:tblPr/>
      <w:tcPr>
        <w:shd w:val="clear" w:color="FECECE" w:themeColor="accent3" w:themeTint="40" w:fill="FECECE" w:themeFill="accent3" w:themeFillTint="40"/>
      </w:tcPr>
    </w:tblStylePr>
  </w:style>
  <w:style w:type="table" w:customStyle="1" w:styleId="ListTable1Light-Accent4">
    <w:name w:val="List Table 1 Light - Accent 4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F7F7F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EDEDE" w:themeColor="accent4" w:themeTint="40" w:fill="DEDEDE" w:themeFill="accent4" w:themeFillTint="40"/>
      </w:tcPr>
    </w:tblStylePr>
    <w:tblStylePr w:type="band1Horz">
      <w:tblPr/>
      <w:tcPr>
        <w:shd w:val="clear" w:color="DEDEDE" w:themeColor="accent4" w:themeTint="40" w:fill="DEDEDE" w:themeFill="accent4" w:themeFillTint="40"/>
      </w:tcPr>
    </w:tblStylePr>
  </w:style>
  <w:style w:type="table" w:customStyle="1" w:styleId="ListTable1Light-Accent5">
    <w:name w:val="List Table 1 Light - Accent 5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10">
    <w:name w:val="Список-таблица 211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6"/>
    <w:uiPriority w:val="99"/>
    <w:tblPr>
      <w:tblStyleRowBandSize w:val="1"/>
      <w:tblStyleColBandSize w:val="1"/>
      <w:tblBorders>
        <w:top w:val="single" w:sz="4" w:space="0" w:color="ADDB7A" w:themeColor="accent1" w:themeTint="90"/>
        <w:bottom w:val="single" w:sz="4" w:space="0" w:color="ADDB7A" w:themeColor="accent1" w:themeTint="90"/>
        <w:insideH w:val="single" w:sz="4" w:space="0" w:color="ADDB7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B7A" w:themeColor="accent1" w:themeTint="90"/>
          <w:left w:val="none" w:sz="4" w:space="0" w:color="000000"/>
          <w:bottom w:val="single" w:sz="4" w:space="0" w:color="ADDB7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B7A" w:themeColor="accent1" w:themeTint="90"/>
          <w:left w:val="none" w:sz="4" w:space="0" w:color="000000"/>
          <w:bottom w:val="single" w:sz="4" w:space="0" w:color="ADDB7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FC4" w:themeColor="accent1" w:themeTint="40" w:fill="DAEFC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FC4" w:themeColor="accent1" w:themeTint="40" w:fill="DAEFC4" w:themeFill="accent1" w:themeFillTint="40"/>
      </w:tcPr>
    </w:tblStylePr>
  </w:style>
  <w:style w:type="table" w:customStyle="1" w:styleId="ListTable2-Accent2">
    <w:name w:val="List Table 2 - Accent 2"/>
    <w:basedOn w:val="a6"/>
    <w:uiPriority w:val="99"/>
    <w:tblPr>
      <w:tblStyleRowBandSize w:val="1"/>
      <w:tblStyleColBandSize w:val="1"/>
      <w:tblBorders>
        <w:top w:val="single" w:sz="4" w:space="0" w:color="B1ADAD" w:themeColor="accent2" w:themeTint="90"/>
        <w:bottom w:val="single" w:sz="4" w:space="0" w:color="B1ADAD" w:themeColor="accent2" w:themeTint="90"/>
        <w:insideH w:val="single" w:sz="4" w:space="0" w:color="B1ADAD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1ADAD" w:themeColor="accent2" w:themeTint="90"/>
          <w:left w:val="none" w:sz="4" w:space="0" w:color="000000"/>
          <w:bottom w:val="single" w:sz="4" w:space="0" w:color="B1ADAD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1ADAD" w:themeColor="accent2" w:themeTint="90"/>
          <w:left w:val="none" w:sz="4" w:space="0" w:color="000000"/>
          <w:bottom w:val="single" w:sz="4" w:space="0" w:color="B1ADAD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DADA" w:themeColor="accent2" w:themeTint="40" w:fill="DCDADA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DADA" w:themeColor="accent2" w:themeTint="40" w:fill="DCDADA" w:themeFill="accent2" w:themeFillTint="40"/>
      </w:tcPr>
    </w:tblStylePr>
  </w:style>
  <w:style w:type="table" w:customStyle="1" w:styleId="ListTable2-Accent3">
    <w:name w:val="List Table 2 - Accent 3"/>
    <w:basedOn w:val="a6"/>
    <w:uiPriority w:val="99"/>
    <w:tblPr>
      <w:tblStyleRowBandSize w:val="1"/>
      <w:tblStyleColBandSize w:val="1"/>
      <w:tblBorders>
        <w:top w:val="single" w:sz="4" w:space="0" w:color="FE9292" w:themeColor="accent3" w:themeTint="90"/>
        <w:bottom w:val="single" w:sz="4" w:space="0" w:color="FE9292" w:themeColor="accent3" w:themeTint="90"/>
        <w:insideH w:val="single" w:sz="4" w:space="0" w:color="FE9292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E9292" w:themeColor="accent3" w:themeTint="90"/>
          <w:left w:val="none" w:sz="4" w:space="0" w:color="000000"/>
          <w:bottom w:val="single" w:sz="4" w:space="0" w:color="FE9292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E9292" w:themeColor="accent3" w:themeTint="90"/>
          <w:left w:val="none" w:sz="4" w:space="0" w:color="000000"/>
          <w:bottom w:val="single" w:sz="4" w:space="0" w:color="FE9292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CECE" w:themeColor="accent3" w:themeTint="40" w:fill="FECECE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CECE" w:themeColor="accent3" w:themeTint="40" w:fill="FECECE" w:themeFill="accent3" w:themeFillTint="40"/>
      </w:tcPr>
    </w:tblStylePr>
  </w:style>
  <w:style w:type="table" w:customStyle="1" w:styleId="ListTable2-Accent4">
    <w:name w:val="List Table 2 - Accent 4"/>
    <w:basedOn w:val="a6"/>
    <w:uiPriority w:val="99"/>
    <w:tblPr>
      <w:tblStyleRowBandSize w:val="1"/>
      <w:tblStyleColBandSize w:val="1"/>
      <w:tblBorders>
        <w:top w:val="single" w:sz="4" w:space="0" w:color="B6B6B6" w:themeColor="accent4" w:themeTint="90"/>
        <w:bottom w:val="single" w:sz="4" w:space="0" w:color="B6B6B6" w:themeColor="accent4" w:themeTint="90"/>
        <w:insideH w:val="single" w:sz="4" w:space="0" w:color="B6B6B6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6B6B6" w:themeColor="accent4" w:themeTint="90"/>
          <w:left w:val="none" w:sz="4" w:space="0" w:color="000000"/>
          <w:bottom w:val="single" w:sz="4" w:space="0" w:color="B6B6B6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6B6B6" w:themeColor="accent4" w:themeTint="90"/>
          <w:left w:val="none" w:sz="4" w:space="0" w:color="000000"/>
          <w:bottom w:val="single" w:sz="4" w:space="0" w:color="B6B6B6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DEDE" w:themeColor="accent4" w:themeTint="40" w:fill="DEDEDE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EDE" w:themeColor="accent4" w:themeTint="40" w:fill="DEDEDE" w:themeFill="accent4" w:themeFillTint="40"/>
      </w:tcPr>
    </w:tblStylePr>
  </w:style>
  <w:style w:type="table" w:customStyle="1" w:styleId="ListTable2-Accent5">
    <w:name w:val="List Table 2 - Accent 5"/>
    <w:basedOn w:val="a6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6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10">
    <w:name w:val="Список-таблица 31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6"/>
    <w:uiPriority w:val="99"/>
    <w:tblPr>
      <w:tblStyleRowBandSize w:val="1"/>
      <w:tblStyleColBandSize w:val="1"/>
      <w:tblBorders>
        <w:top w:val="single" w:sz="4" w:space="0" w:color="6EA92D" w:themeColor="accent1"/>
        <w:left w:val="single" w:sz="4" w:space="0" w:color="6EA92D" w:themeColor="accent1"/>
        <w:bottom w:val="single" w:sz="4" w:space="0" w:color="6EA92D" w:themeColor="accent1"/>
        <w:right w:val="single" w:sz="4" w:space="0" w:color="6EA92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EA92D" w:themeColor="accent1" w:fill="6EA92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6EA92D" w:themeColor="accent1"/>
          <w:right w:val="single" w:sz="4" w:space="0" w:color="6EA92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6EA92D" w:themeColor="accent1"/>
          <w:bottom w:val="single" w:sz="4" w:space="0" w:color="6EA92D" w:themeColor="accent1"/>
        </w:tcBorders>
      </w:tcPr>
    </w:tblStylePr>
  </w:style>
  <w:style w:type="table" w:customStyle="1" w:styleId="ListTable3-Accent2">
    <w:name w:val="List Table 3 - Accent 2"/>
    <w:basedOn w:val="a6"/>
    <w:uiPriority w:val="99"/>
    <w:tblPr>
      <w:tblStyleRowBandSize w:val="1"/>
      <w:tblStyleColBandSize w:val="1"/>
      <w:tblBorders>
        <w:top w:val="single" w:sz="4" w:space="0" w:color="ADA9A9" w:themeColor="accent2" w:themeTint="97"/>
        <w:left w:val="single" w:sz="4" w:space="0" w:color="ADA9A9" w:themeColor="accent2" w:themeTint="97"/>
        <w:bottom w:val="single" w:sz="4" w:space="0" w:color="ADA9A9" w:themeColor="accent2" w:themeTint="97"/>
        <w:right w:val="single" w:sz="4" w:space="0" w:color="ADA9A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DA9A9" w:themeColor="accent2" w:themeTint="97"/>
          <w:right w:val="single" w:sz="4" w:space="0" w:color="ADA9A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DA9A9" w:themeColor="accent2" w:themeTint="97"/>
          <w:bottom w:val="single" w:sz="4" w:space="0" w:color="ADA9A9" w:themeColor="accent2" w:themeTint="97"/>
        </w:tcBorders>
      </w:tcPr>
    </w:tblStylePr>
  </w:style>
  <w:style w:type="table" w:customStyle="1" w:styleId="ListTable3-Accent3">
    <w:name w:val="List Table 3 - Accent 3"/>
    <w:basedOn w:val="a6"/>
    <w:uiPriority w:val="99"/>
    <w:tblPr>
      <w:tblStyleRowBandSize w:val="1"/>
      <w:tblStyleColBandSize w:val="1"/>
      <w:tblBorders>
        <w:top w:val="single" w:sz="4" w:space="0" w:color="FE8C8C" w:themeColor="accent3" w:themeTint="98"/>
        <w:left w:val="single" w:sz="4" w:space="0" w:color="FE8C8C" w:themeColor="accent3" w:themeTint="98"/>
        <w:bottom w:val="single" w:sz="4" w:space="0" w:color="FE8C8C" w:themeColor="accent3" w:themeTint="98"/>
        <w:right w:val="single" w:sz="4" w:space="0" w:color="FE8C8C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E8C8C" w:themeColor="accent3" w:themeTint="98" w:fill="FE8C8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E8C8C" w:themeColor="accent3" w:themeTint="98"/>
          <w:right w:val="single" w:sz="4" w:space="0" w:color="FE8C8C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8C8C" w:themeColor="accent3" w:themeTint="98"/>
          <w:bottom w:val="single" w:sz="4" w:space="0" w:color="FE8C8C" w:themeColor="accent3" w:themeTint="98"/>
        </w:tcBorders>
      </w:tcPr>
    </w:tblStylePr>
  </w:style>
  <w:style w:type="table" w:customStyle="1" w:styleId="ListTable3-Accent4">
    <w:name w:val="List Table 3 - Accent 4"/>
    <w:basedOn w:val="a6"/>
    <w:uiPriority w:val="99"/>
    <w:tblPr>
      <w:tblStyleRowBandSize w:val="1"/>
      <w:tblStyleColBandSize w:val="1"/>
      <w:tblBorders>
        <w:top w:val="single" w:sz="4" w:space="0" w:color="B1B1B1" w:themeColor="accent4" w:themeTint="9A"/>
        <w:left w:val="single" w:sz="4" w:space="0" w:color="B1B1B1" w:themeColor="accent4" w:themeTint="9A"/>
        <w:bottom w:val="single" w:sz="4" w:space="0" w:color="B1B1B1" w:themeColor="accent4" w:themeTint="9A"/>
        <w:right w:val="single" w:sz="4" w:space="0" w:color="B1B1B1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1B1B1" w:themeColor="accent4" w:themeTint="9A"/>
          <w:right w:val="single" w:sz="4" w:space="0" w:color="B1B1B1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1B1B1" w:themeColor="accent4" w:themeTint="9A"/>
          <w:bottom w:val="single" w:sz="4" w:space="0" w:color="B1B1B1" w:themeColor="accent4" w:themeTint="9A"/>
        </w:tcBorders>
      </w:tcPr>
    </w:tblStylePr>
  </w:style>
  <w:style w:type="table" w:customStyle="1" w:styleId="ListTable3-Accent5">
    <w:name w:val="List Table 3 - Accent 5"/>
    <w:basedOn w:val="a6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6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10">
    <w:name w:val="Список-таблица 41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6"/>
    <w:uiPriority w:val="99"/>
    <w:tblPr>
      <w:tblStyleRowBandSize w:val="1"/>
      <w:tblStyleColBandSize w:val="1"/>
      <w:tblBorders>
        <w:top w:val="single" w:sz="4" w:space="0" w:color="ADDB7A" w:themeColor="accent1" w:themeTint="90"/>
        <w:left w:val="single" w:sz="4" w:space="0" w:color="ADDB7A" w:themeColor="accent1" w:themeTint="90"/>
        <w:bottom w:val="single" w:sz="4" w:space="0" w:color="ADDB7A" w:themeColor="accent1" w:themeTint="90"/>
        <w:right w:val="single" w:sz="4" w:space="0" w:color="ADDB7A" w:themeColor="accent1" w:themeTint="90"/>
        <w:insideH w:val="single" w:sz="4" w:space="0" w:color="ADDB7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EA92D" w:themeColor="accent1" w:fill="6EA92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FC4" w:themeColor="accent1" w:themeTint="40" w:fill="DAEFC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FC4" w:themeColor="accent1" w:themeTint="40" w:fill="DAEFC4" w:themeFill="accent1" w:themeFillTint="40"/>
      </w:tcPr>
    </w:tblStylePr>
  </w:style>
  <w:style w:type="table" w:customStyle="1" w:styleId="ListTable4-Accent2">
    <w:name w:val="List Table 4 - Accent 2"/>
    <w:basedOn w:val="a6"/>
    <w:uiPriority w:val="99"/>
    <w:tblPr>
      <w:tblStyleRowBandSize w:val="1"/>
      <w:tblStyleColBandSize w:val="1"/>
      <w:tblBorders>
        <w:top w:val="single" w:sz="4" w:space="0" w:color="B1ADAD" w:themeColor="accent2" w:themeTint="90"/>
        <w:left w:val="single" w:sz="4" w:space="0" w:color="B1ADAD" w:themeColor="accent2" w:themeTint="90"/>
        <w:bottom w:val="single" w:sz="4" w:space="0" w:color="B1ADAD" w:themeColor="accent2" w:themeTint="90"/>
        <w:right w:val="single" w:sz="4" w:space="0" w:color="B1ADAD" w:themeColor="accent2" w:themeTint="90"/>
        <w:insideH w:val="single" w:sz="4" w:space="0" w:color="B1ADAD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7070" w:themeColor="accent2" w:fill="757070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DADA" w:themeColor="accent2" w:themeTint="40" w:fill="DCDADA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DADA" w:themeColor="accent2" w:themeTint="40" w:fill="DCDADA" w:themeFill="accent2" w:themeFillTint="40"/>
      </w:tcPr>
    </w:tblStylePr>
  </w:style>
  <w:style w:type="table" w:customStyle="1" w:styleId="ListTable4-Accent3">
    <w:name w:val="List Table 4 - Accent 3"/>
    <w:basedOn w:val="a6"/>
    <w:uiPriority w:val="99"/>
    <w:tblPr>
      <w:tblStyleRowBandSize w:val="1"/>
      <w:tblStyleColBandSize w:val="1"/>
      <w:tblBorders>
        <w:top w:val="single" w:sz="4" w:space="0" w:color="FE9292" w:themeColor="accent3" w:themeTint="90"/>
        <w:left w:val="single" w:sz="4" w:space="0" w:color="FE9292" w:themeColor="accent3" w:themeTint="90"/>
        <w:bottom w:val="single" w:sz="4" w:space="0" w:color="FE9292" w:themeColor="accent3" w:themeTint="90"/>
        <w:right w:val="single" w:sz="4" w:space="0" w:color="FE9292" w:themeColor="accent3" w:themeTint="90"/>
        <w:insideH w:val="single" w:sz="4" w:space="0" w:color="FE9292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E3F3F" w:themeColor="accent3" w:fill="FE3F3F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CECE" w:themeColor="accent3" w:themeTint="40" w:fill="FECECE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CECE" w:themeColor="accent3" w:themeTint="40" w:fill="FECECE" w:themeFill="accent3" w:themeFillTint="40"/>
      </w:tcPr>
    </w:tblStylePr>
  </w:style>
  <w:style w:type="table" w:customStyle="1" w:styleId="ListTable4-Accent4">
    <w:name w:val="List Table 4 - Accent 4"/>
    <w:basedOn w:val="a6"/>
    <w:uiPriority w:val="99"/>
    <w:tblPr>
      <w:tblStyleRowBandSize w:val="1"/>
      <w:tblStyleColBandSize w:val="1"/>
      <w:tblBorders>
        <w:top w:val="single" w:sz="4" w:space="0" w:color="B6B6B6" w:themeColor="accent4" w:themeTint="90"/>
        <w:left w:val="single" w:sz="4" w:space="0" w:color="B6B6B6" w:themeColor="accent4" w:themeTint="90"/>
        <w:bottom w:val="single" w:sz="4" w:space="0" w:color="B6B6B6" w:themeColor="accent4" w:themeTint="90"/>
        <w:right w:val="single" w:sz="4" w:space="0" w:color="B6B6B6" w:themeColor="accent4" w:themeTint="90"/>
        <w:insideH w:val="single" w:sz="4" w:space="0" w:color="B6B6B6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F7F7F" w:themeColor="accent4" w:fill="7F7F7F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DEDE" w:themeColor="accent4" w:themeTint="40" w:fill="DEDEDE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EDE" w:themeColor="accent4" w:themeTint="40" w:fill="DEDEDE" w:themeFill="accent4" w:themeFillTint="40"/>
      </w:tcPr>
    </w:tblStylePr>
  </w:style>
  <w:style w:type="table" w:customStyle="1" w:styleId="ListTable4-Accent5">
    <w:name w:val="List Table 4 - Accent 5"/>
    <w:basedOn w:val="a6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6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10">
    <w:name w:val="Список-таблица 5 темная11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6"/>
    <w:uiPriority w:val="99"/>
    <w:tblPr>
      <w:tblStyleRowBandSize w:val="1"/>
      <w:tblStyleColBandSize w:val="1"/>
      <w:tblBorders>
        <w:top w:val="single" w:sz="32" w:space="0" w:color="6EA92D" w:themeColor="accent1"/>
        <w:left w:val="single" w:sz="32" w:space="0" w:color="6EA92D" w:themeColor="accent1"/>
        <w:bottom w:val="single" w:sz="32" w:space="0" w:color="6EA92D" w:themeColor="accent1"/>
        <w:right w:val="single" w:sz="32" w:space="0" w:color="6EA92D" w:themeColor="accent1"/>
      </w:tblBorders>
      <w:shd w:val="clear" w:color="6EA92D" w:themeColor="accent1" w:fill="6EA92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6EA92D" w:themeColor="accent1"/>
          <w:bottom w:val="single" w:sz="12" w:space="0" w:color="FFFFFF" w:themeColor="light1"/>
        </w:tcBorders>
        <w:shd w:val="clear" w:color="6EA92D" w:themeColor="accent1" w:fill="6EA92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6EA92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6EA92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6EA92D" w:themeColor="accent1" w:fill="6EA92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6EA92D" w:themeColor="accent1" w:fill="6EA92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6EA92D" w:themeColor="accent1" w:fill="6EA92D" w:themeFill="accent1"/>
      </w:tcPr>
    </w:tblStylePr>
  </w:style>
  <w:style w:type="table" w:customStyle="1" w:styleId="ListTable5Dark-Accent2">
    <w:name w:val="List Table 5 Dark - Accent 2"/>
    <w:basedOn w:val="a6"/>
    <w:uiPriority w:val="99"/>
    <w:tblPr>
      <w:tblStyleRowBandSize w:val="1"/>
      <w:tblStyleColBandSize w:val="1"/>
      <w:tblBorders>
        <w:top w:val="single" w:sz="32" w:space="0" w:color="ADA9A9" w:themeColor="accent2" w:themeTint="97"/>
        <w:left w:val="single" w:sz="32" w:space="0" w:color="ADA9A9" w:themeColor="accent2" w:themeTint="97"/>
        <w:bottom w:val="single" w:sz="32" w:space="0" w:color="ADA9A9" w:themeColor="accent2" w:themeTint="97"/>
        <w:right w:val="single" w:sz="32" w:space="0" w:color="ADA9A9" w:themeColor="accent2" w:themeTint="97"/>
      </w:tblBorders>
      <w:shd w:val="clear" w:color="ADA9A9" w:themeColor="accent2" w:themeTint="97" w:fill="ADA9A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DA9A9" w:themeColor="accent2" w:themeTint="97"/>
          <w:bottom w:val="single" w:sz="12" w:space="0" w:color="FFFFFF" w:themeColor="light1"/>
        </w:tcBorders>
        <w:shd w:val="clear" w:color="ADA9A9" w:themeColor="accent2" w:themeTint="97" w:fill="ADA9A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DA9A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DA9A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DA9A9" w:themeColor="accent2" w:themeTint="97" w:fill="ADA9A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DA9A9" w:themeColor="accent2" w:themeTint="97" w:fill="ADA9A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DA9A9" w:themeColor="accent2" w:themeTint="97" w:fill="ADA9A9" w:themeFill="accent2" w:themeFillTint="97"/>
      </w:tcPr>
    </w:tblStylePr>
  </w:style>
  <w:style w:type="table" w:customStyle="1" w:styleId="ListTable5Dark-Accent3">
    <w:name w:val="List Table 5 Dark - Accent 3"/>
    <w:basedOn w:val="a6"/>
    <w:uiPriority w:val="99"/>
    <w:tblPr>
      <w:tblStyleRowBandSize w:val="1"/>
      <w:tblStyleColBandSize w:val="1"/>
      <w:tblBorders>
        <w:top w:val="single" w:sz="32" w:space="0" w:color="FE8C8C" w:themeColor="accent3" w:themeTint="98"/>
        <w:left w:val="single" w:sz="32" w:space="0" w:color="FE8C8C" w:themeColor="accent3" w:themeTint="98"/>
        <w:bottom w:val="single" w:sz="32" w:space="0" w:color="FE8C8C" w:themeColor="accent3" w:themeTint="98"/>
        <w:right w:val="single" w:sz="32" w:space="0" w:color="FE8C8C" w:themeColor="accent3" w:themeTint="98"/>
      </w:tblBorders>
      <w:shd w:val="clear" w:color="FE8C8C" w:themeColor="accent3" w:themeTint="98" w:fill="FE8C8C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E8C8C" w:themeColor="accent3" w:themeTint="98"/>
          <w:bottom w:val="single" w:sz="12" w:space="0" w:color="FFFFFF" w:themeColor="light1"/>
        </w:tcBorders>
        <w:shd w:val="clear" w:color="FE8C8C" w:themeColor="accent3" w:themeTint="98" w:fill="FE8C8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E8C8C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E8C8C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E8C8C" w:themeColor="accent3" w:themeTint="98" w:fill="FE8C8C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E8C8C" w:themeColor="accent3" w:themeTint="98" w:fill="FE8C8C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E8C8C" w:themeColor="accent3" w:themeTint="98" w:fill="FE8C8C" w:themeFill="accent3" w:themeFillTint="98"/>
      </w:tcPr>
    </w:tblStylePr>
  </w:style>
  <w:style w:type="table" w:customStyle="1" w:styleId="ListTable5Dark-Accent4">
    <w:name w:val="List Table 5 Dark - Accent 4"/>
    <w:basedOn w:val="a6"/>
    <w:uiPriority w:val="99"/>
    <w:tblPr>
      <w:tblStyleRowBandSize w:val="1"/>
      <w:tblStyleColBandSize w:val="1"/>
      <w:tblBorders>
        <w:top w:val="single" w:sz="32" w:space="0" w:color="B1B1B1" w:themeColor="accent4" w:themeTint="9A"/>
        <w:left w:val="single" w:sz="32" w:space="0" w:color="B1B1B1" w:themeColor="accent4" w:themeTint="9A"/>
        <w:bottom w:val="single" w:sz="32" w:space="0" w:color="B1B1B1" w:themeColor="accent4" w:themeTint="9A"/>
        <w:right w:val="single" w:sz="32" w:space="0" w:color="B1B1B1" w:themeColor="accent4" w:themeTint="9A"/>
      </w:tblBorders>
      <w:shd w:val="clear" w:color="B1B1B1" w:themeColor="accent4" w:themeTint="9A" w:fill="B1B1B1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1B1B1" w:themeColor="accent4" w:themeTint="9A"/>
          <w:bottom w:val="single" w:sz="12" w:space="0" w:color="FFFFFF" w:themeColor="light1"/>
        </w:tcBorders>
        <w:shd w:val="clear" w:color="B1B1B1" w:themeColor="accent4" w:themeTint="9A" w:fill="B1B1B1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1B1B1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1B1B1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1B1B1" w:themeColor="accent4" w:themeTint="9A" w:fill="B1B1B1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1B1B1" w:themeColor="accent4" w:themeTint="9A" w:fill="B1B1B1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1B1B1" w:themeColor="accent4" w:themeTint="9A" w:fill="B1B1B1" w:themeFill="accent4" w:themeFillTint="9A"/>
      </w:tcPr>
    </w:tblStylePr>
  </w:style>
  <w:style w:type="table" w:customStyle="1" w:styleId="ListTable5Dark-Accent5">
    <w:name w:val="List Table 5 Dark - Accent 5"/>
    <w:basedOn w:val="a6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6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10">
    <w:name w:val="Список-таблица 6 цветная1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6"/>
    <w:uiPriority w:val="99"/>
    <w:tblPr>
      <w:tblStyleRowBandSize w:val="1"/>
      <w:tblStyleColBandSize w:val="1"/>
      <w:tblBorders>
        <w:top w:val="single" w:sz="4" w:space="0" w:color="6EA92D" w:themeColor="accent1"/>
        <w:bottom w:val="single" w:sz="4" w:space="0" w:color="6EA92D" w:themeColor="accent1"/>
      </w:tblBorders>
    </w:tblPr>
    <w:tblStylePr w:type="firstRow">
      <w:rPr>
        <w:b/>
        <w:color w:val="40621A" w:themeColor="accent1" w:themeShade="95"/>
      </w:rPr>
      <w:tblPr/>
      <w:tcPr>
        <w:tcBorders>
          <w:bottom w:val="single" w:sz="4" w:space="0" w:color="6EA92D" w:themeColor="accent1"/>
        </w:tcBorders>
      </w:tcPr>
    </w:tblStylePr>
    <w:tblStylePr w:type="lastRow">
      <w:rPr>
        <w:b/>
        <w:color w:val="40621A" w:themeColor="accent1" w:themeShade="95"/>
      </w:rPr>
      <w:tblPr/>
      <w:tcPr>
        <w:tcBorders>
          <w:top w:val="single" w:sz="4" w:space="0" w:color="6EA92D" w:themeColor="accent1"/>
        </w:tcBorders>
      </w:tcPr>
    </w:tblStylePr>
    <w:tblStylePr w:type="firstCol">
      <w:rPr>
        <w:b/>
        <w:color w:val="40621A" w:themeColor="accent1" w:themeShade="95"/>
      </w:rPr>
    </w:tblStylePr>
    <w:tblStylePr w:type="lastCol">
      <w:rPr>
        <w:b/>
        <w:color w:val="40621A" w:themeColor="accent1" w:themeShade="95"/>
      </w:rPr>
    </w:tblStylePr>
    <w:tblStylePr w:type="band1Vert">
      <w:tblPr/>
      <w:tcPr>
        <w:shd w:val="clear" w:color="DAEFC4" w:themeColor="accent1" w:themeTint="40" w:fill="DAEFC4" w:themeFill="accent1" w:themeFillTint="40"/>
      </w:tcPr>
    </w:tblStylePr>
    <w:tblStylePr w:type="band1Horz">
      <w:rPr>
        <w:rFonts w:ascii="Arial" w:hAnsi="Arial"/>
        <w:color w:val="40621A" w:themeColor="accent1" w:themeShade="95"/>
        <w:sz w:val="22"/>
      </w:rPr>
      <w:tblPr/>
      <w:tcPr>
        <w:shd w:val="clear" w:color="DAEFC4" w:themeColor="accent1" w:themeTint="40" w:fill="DAEFC4" w:themeFill="accent1" w:themeFillTint="40"/>
      </w:tcPr>
    </w:tblStylePr>
    <w:tblStylePr w:type="band2Horz">
      <w:rPr>
        <w:rFonts w:ascii="Arial" w:hAnsi="Arial"/>
        <w:color w:val="40621A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6"/>
    <w:uiPriority w:val="99"/>
    <w:tblPr>
      <w:tblStyleRowBandSize w:val="1"/>
      <w:tblStyleColBandSize w:val="1"/>
      <w:tblBorders>
        <w:top w:val="single" w:sz="4" w:space="0" w:color="ADA9A9" w:themeColor="accent2" w:themeTint="97"/>
        <w:bottom w:val="single" w:sz="4" w:space="0" w:color="ADA9A9" w:themeColor="accent2" w:themeTint="97"/>
      </w:tblBorders>
    </w:tblPr>
    <w:tblStylePr w:type="firstRow">
      <w:rPr>
        <w:b/>
        <w:color w:val="ADA9A9" w:themeColor="accent2" w:themeTint="97" w:themeShade="95"/>
      </w:rPr>
      <w:tblPr/>
      <w:tcPr>
        <w:tcBorders>
          <w:bottom w:val="single" w:sz="4" w:space="0" w:color="ADA9A9" w:themeColor="accent2" w:themeTint="97"/>
        </w:tcBorders>
      </w:tcPr>
    </w:tblStylePr>
    <w:tblStylePr w:type="lastRow">
      <w:rPr>
        <w:b/>
        <w:color w:val="ADA9A9" w:themeColor="accent2" w:themeTint="97" w:themeShade="95"/>
      </w:rPr>
      <w:tblPr/>
      <w:tcPr>
        <w:tcBorders>
          <w:top w:val="single" w:sz="4" w:space="0" w:color="ADA9A9" w:themeColor="accent2" w:themeTint="97"/>
        </w:tcBorders>
      </w:tcPr>
    </w:tblStylePr>
    <w:tblStylePr w:type="firstCol">
      <w:rPr>
        <w:b/>
        <w:color w:val="ADA9A9" w:themeColor="accent2" w:themeTint="97" w:themeShade="95"/>
      </w:rPr>
    </w:tblStylePr>
    <w:tblStylePr w:type="lastCol">
      <w:rPr>
        <w:b/>
        <w:color w:val="ADA9A9" w:themeColor="accent2" w:themeTint="97" w:themeShade="95"/>
      </w:rPr>
    </w:tblStylePr>
    <w:tblStylePr w:type="band1Vert">
      <w:tblPr/>
      <w:tcPr>
        <w:shd w:val="clear" w:color="DCDADA" w:themeColor="accent2" w:themeTint="40" w:fill="DCDADA" w:themeFill="accent2" w:themeFillTint="40"/>
      </w:tcPr>
    </w:tblStylePr>
    <w:tblStylePr w:type="band1Horz">
      <w:rPr>
        <w:rFonts w:ascii="Arial" w:hAnsi="Arial"/>
        <w:color w:val="ADA9A9" w:themeColor="accent2" w:themeTint="97" w:themeShade="95"/>
        <w:sz w:val="22"/>
      </w:rPr>
      <w:tblPr/>
      <w:tcPr>
        <w:shd w:val="clear" w:color="DCDADA" w:themeColor="accent2" w:themeTint="40" w:fill="DCDADA" w:themeFill="accent2" w:themeFillTint="40"/>
      </w:tcPr>
    </w:tblStylePr>
    <w:tblStylePr w:type="band2Horz">
      <w:rPr>
        <w:rFonts w:ascii="Arial" w:hAnsi="Arial"/>
        <w:color w:val="ADA9A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6"/>
    <w:uiPriority w:val="99"/>
    <w:tblPr>
      <w:tblStyleRowBandSize w:val="1"/>
      <w:tblStyleColBandSize w:val="1"/>
      <w:tblBorders>
        <w:top w:val="single" w:sz="4" w:space="0" w:color="FE8C8C" w:themeColor="accent3" w:themeTint="98"/>
        <w:bottom w:val="single" w:sz="4" w:space="0" w:color="FE8C8C" w:themeColor="accent3" w:themeTint="98"/>
      </w:tblBorders>
    </w:tblPr>
    <w:tblStylePr w:type="firstRow">
      <w:rPr>
        <w:b/>
        <w:color w:val="FE8C8C" w:themeColor="accent3" w:themeTint="98" w:themeShade="95"/>
      </w:rPr>
      <w:tblPr/>
      <w:tcPr>
        <w:tcBorders>
          <w:bottom w:val="single" w:sz="4" w:space="0" w:color="FE8C8C" w:themeColor="accent3" w:themeTint="98"/>
        </w:tcBorders>
      </w:tcPr>
    </w:tblStylePr>
    <w:tblStylePr w:type="lastRow">
      <w:rPr>
        <w:b/>
        <w:color w:val="FE8C8C" w:themeColor="accent3" w:themeTint="98" w:themeShade="95"/>
      </w:rPr>
      <w:tblPr/>
      <w:tcPr>
        <w:tcBorders>
          <w:top w:val="single" w:sz="4" w:space="0" w:color="FE8C8C" w:themeColor="accent3" w:themeTint="98"/>
        </w:tcBorders>
      </w:tcPr>
    </w:tblStylePr>
    <w:tblStylePr w:type="firstCol">
      <w:rPr>
        <w:b/>
        <w:color w:val="FE8C8C" w:themeColor="accent3" w:themeTint="98" w:themeShade="95"/>
      </w:rPr>
    </w:tblStylePr>
    <w:tblStylePr w:type="lastCol">
      <w:rPr>
        <w:b/>
        <w:color w:val="FE8C8C" w:themeColor="accent3" w:themeTint="98" w:themeShade="95"/>
      </w:rPr>
    </w:tblStylePr>
    <w:tblStylePr w:type="band1Vert">
      <w:tblPr/>
      <w:tcPr>
        <w:shd w:val="clear" w:color="FECECE" w:themeColor="accent3" w:themeTint="40" w:fill="FECECE" w:themeFill="accent3" w:themeFillTint="40"/>
      </w:tcPr>
    </w:tblStylePr>
    <w:tblStylePr w:type="band1Horz">
      <w:rPr>
        <w:rFonts w:ascii="Arial" w:hAnsi="Arial"/>
        <w:color w:val="FE8C8C" w:themeColor="accent3" w:themeTint="98" w:themeShade="95"/>
        <w:sz w:val="22"/>
      </w:rPr>
      <w:tblPr/>
      <w:tcPr>
        <w:shd w:val="clear" w:color="FECECE" w:themeColor="accent3" w:themeTint="40" w:fill="FECECE" w:themeFill="accent3" w:themeFillTint="40"/>
      </w:tcPr>
    </w:tblStylePr>
    <w:tblStylePr w:type="band2Horz">
      <w:rPr>
        <w:rFonts w:ascii="Arial" w:hAnsi="Arial"/>
        <w:color w:val="FE8C8C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6"/>
    <w:uiPriority w:val="99"/>
    <w:tblPr>
      <w:tblStyleRowBandSize w:val="1"/>
      <w:tblStyleColBandSize w:val="1"/>
      <w:tblBorders>
        <w:top w:val="single" w:sz="4" w:space="0" w:color="B1B1B1" w:themeColor="accent4" w:themeTint="9A"/>
        <w:bottom w:val="single" w:sz="4" w:space="0" w:color="B1B1B1" w:themeColor="accent4" w:themeTint="9A"/>
      </w:tblBorders>
    </w:tblPr>
    <w:tblStylePr w:type="firstRow">
      <w:rPr>
        <w:b/>
        <w:color w:val="B1B1B1" w:themeColor="accent4" w:themeTint="9A" w:themeShade="95"/>
      </w:rPr>
      <w:tblPr/>
      <w:tcPr>
        <w:tcBorders>
          <w:bottom w:val="single" w:sz="4" w:space="0" w:color="B1B1B1" w:themeColor="accent4" w:themeTint="9A"/>
        </w:tcBorders>
      </w:tcPr>
    </w:tblStylePr>
    <w:tblStylePr w:type="lastRow">
      <w:rPr>
        <w:b/>
        <w:color w:val="B1B1B1" w:themeColor="accent4" w:themeTint="9A" w:themeShade="95"/>
      </w:rPr>
      <w:tblPr/>
      <w:tcPr>
        <w:tcBorders>
          <w:top w:val="single" w:sz="4" w:space="0" w:color="B1B1B1" w:themeColor="accent4" w:themeTint="9A"/>
        </w:tcBorders>
      </w:tcPr>
    </w:tblStylePr>
    <w:tblStylePr w:type="firstCol">
      <w:rPr>
        <w:b/>
        <w:color w:val="B1B1B1" w:themeColor="accent4" w:themeTint="9A" w:themeShade="95"/>
      </w:rPr>
    </w:tblStylePr>
    <w:tblStylePr w:type="lastCol">
      <w:rPr>
        <w:b/>
        <w:color w:val="B1B1B1" w:themeColor="accent4" w:themeTint="9A" w:themeShade="95"/>
      </w:rPr>
    </w:tblStylePr>
    <w:tblStylePr w:type="band1Vert">
      <w:tblPr/>
      <w:tcPr>
        <w:shd w:val="clear" w:color="DEDEDE" w:themeColor="accent4" w:themeTint="40" w:fill="DEDEDE" w:themeFill="accent4" w:themeFillTint="40"/>
      </w:tcPr>
    </w:tblStylePr>
    <w:tblStylePr w:type="band1Horz">
      <w:rPr>
        <w:rFonts w:ascii="Arial" w:hAnsi="Arial"/>
        <w:color w:val="B1B1B1" w:themeColor="accent4" w:themeTint="9A" w:themeShade="95"/>
        <w:sz w:val="22"/>
      </w:rPr>
      <w:tblPr/>
      <w:tcPr>
        <w:shd w:val="clear" w:color="DEDEDE" w:themeColor="accent4" w:themeTint="40" w:fill="DEDEDE" w:themeFill="accent4" w:themeFillTint="40"/>
      </w:tcPr>
    </w:tblStylePr>
    <w:tblStylePr w:type="band2Horz">
      <w:rPr>
        <w:rFonts w:ascii="Arial" w:hAnsi="Arial"/>
        <w:color w:val="B1B1B1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6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6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10">
    <w:name w:val="Список-таблица 7 цветная11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6"/>
    <w:uiPriority w:val="99"/>
    <w:tblPr>
      <w:tblStyleRowBandSize w:val="1"/>
      <w:tblStyleColBandSize w:val="1"/>
      <w:tblBorders>
        <w:right w:val="single" w:sz="4" w:space="0" w:color="6EA92D" w:themeColor="accent1"/>
      </w:tblBorders>
    </w:tblPr>
    <w:tblStylePr w:type="firstRow">
      <w:rPr>
        <w:rFonts w:ascii="Arial" w:hAnsi="Arial"/>
        <w:i/>
        <w:color w:val="40621A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6EA92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0621A" w:themeColor="accent1" w:themeShade="95"/>
        <w:sz w:val="22"/>
      </w:rPr>
      <w:tblPr/>
      <w:tcPr>
        <w:tcBorders>
          <w:top w:val="single" w:sz="4" w:space="0" w:color="6EA92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21A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6EA92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40621A" w:themeColor="accent1" w:themeShade="95"/>
        <w:sz w:val="22"/>
      </w:rPr>
      <w:tblPr/>
      <w:tcPr>
        <w:tcBorders>
          <w:top w:val="none" w:sz="0" w:space="0" w:color="000000"/>
          <w:left w:val="single" w:sz="4" w:space="0" w:color="6EA92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FC4" w:themeColor="accent1" w:themeTint="40" w:fill="DAEFC4" w:themeFill="accent1" w:themeFillTint="40"/>
      </w:tcPr>
    </w:tblStylePr>
    <w:tblStylePr w:type="band1Horz">
      <w:rPr>
        <w:rFonts w:ascii="Arial" w:hAnsi="Arial"/>
        <w:color w:val="40621A" w:themeColor="accent1" w:themeShade="95"/>
        <w:sz w:val="22"/>
      </w:rPr>
      <w:tblPr/>
      <w:tcPr>
        <w:shd w:val="clear" w:color="DAEFC4" w:themeColor="accent1" w:themeTint="40" w:fill="DAEFC4" w:themeFill="accent1" w:themeFillTint="40"/>
      </w:tcPr>
    </w:tblStylePr>
    <w:tblStylePr w:type="band2Horz">
      <w:rPr>
        <w:rFonts w:ascii="Arial" w:hAnsi="Arial"/>
        <w:color w:val="40621A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6"/>
    <w:uiPriority w:val="99"/>
    <w:tblPr>
      <w:tblStyleRowBandSize w:val="1"/>
      <w:tblStyleColBandSize w:val="1"/>
      <w:tblBorders>
        <w:right w:val="single" w:sz="4" w:space="0" w:color="ADA9A9" w:themeColor="accent2" w:themeTint="97"/>
      </w:tblBorders>
    </w:tblPr>
    <w:tblStylePr w:type="firstRow"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A9A9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single" w:sz="4" w:space="0" w:color="ADA9A9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A9A9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ADA9A9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CDADA" w:themeColor="accent2" w:themeTint="40" w:fill="DCDADA" w:themeFill="accent2" w:themeFillTint="40"/>
      </w:tcPr>
    </w:tblStylePr>
    <w:tblStylePr w:type="band1Horz">
      <w:rPr>
        <w:rFonts w:ascii="Arial" w:hAnsi="Arial"/>
        <w:color w:val="ADA9A9" w:themeColor="accent2" w:themeTint="97" w:themeShade="95"/>
        <w:sz w:val="22"/>
      </w:rPr>
      <w:tblPr/>
      <w:tcPr>
        <w:shd w:val="clear" w:color="DCDADA" w:themeColor="accent2" w:themeTint="40" w:fill="DCDADA" w:themeFill="accent2" w:themeFillTint="40"/>
      </w:tcPr>
    </w:tblStylePr>
    <w:tblStylePr w:type="band2Horz">
      <w:rPr>
        <w:rFonts w:ascii="Arial" w:hAnsi="Arial"/>
        <w:color w:val="ADA9A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6"/>
    <w:uiPriority w:val="99"/>
    <w:tblPr>
      <w:tblStyleRowBandSize w:val="1"/>
      <w:tblStyleColBandSize w:val="1"/>
      <w:tblBorders>
        <w:right w:val="single" w:sz="4" w:space="0" w:color="FE8C8C" w:themeColor="accent3" w:themeTint="98"/>
      </w:tblBorders>
    </w:tblPr>
    <w:tblStylePr w:type="firstRow">
      <w:rPr>
        <w:rFonts w:ascii="Arial" w:hAnsi="Arial"/>
        <w:i/>
        <w:color w:val="FE8C8C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E8C8C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E8C8C" w:themeColor="accent3" w:themeTint="98" w:themeShade="95"/>
        <w:sz w:val="22"/>
      </w:rPr>
      <w:tblPr/>
      <w:tcPr>
        <w:tcBorders>
          <w:top w:val="single" w:sz="4" w:space="0" w:color="FE8C8C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8C8C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E8C8C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E8C8C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FE8C8C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ECECE" w:themeColor="accent3" w:themeTint="40" w:fill="FECECE" w:themeFill="accent3" w:themeFillTint="40"/>
      </w:tcPr>
    </w:tblStylePr>
    <w:tblStylePr w:type="band1Horz">
      <w:rPr>
        <w:rFonts w:ascii="Arial" w:hAnsi="Arial"/>
        <w:color w:val="FE8C8C" w:themeColor="accent3" w:themeTint="98" w:themeShade="95"/>
        <w:sz w:val="22"/>
      </w:rPr>
      <w:tblPr/>
      <w:tcPr>
        <w:shd w:val="clear" w:color="FECECE" w:themeColor="accent3" w:themeTint="40" w:fill="FECECE" w:themeFill="accent3" w:themeFillTint="40"/>
      </w:tcPr>
    </w:tblStylePr>
    <w:tblStylePr w:type="band2Horz">
      <w:rPr>
        <w:rFonts w:ascii="Arial" w:hAnsi="Arial"/>
        <w:color w:val="FE8C8C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6"/>
    <w:uiPriority w:val="99"/>
    <w:tblPr>
      <w:tblStyleRowBandSize w:val="1"/>
      <w:tblStyleColBandSize w:val="1"/>
      <w:tblBorders>
        <w:right w:val="single" w:sz="4" w:space="0" w:color="B1B1B1" w:themeColor="accent4" w:themeTint="9A"/>
      </w:tblBorders>
    </w:tblPr>
    <w:tblStylePr w:type="firstRow"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1B1B1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single" w:sz="4" w:space="0" w:color="B1B1B1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1B1B1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1B1B1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EDEDE" w:themeColor="accent4" w:themeTint="40" w:fill="DEDEDE" w:themeFill="accent4" w:themeFillTint="40"/>
      </w:tcPr>
    </w:tblStylePr>
    <w:tblStylePr w:type="band1Horz">
      <w:rPr>
        <w:rFonts w:ascii="Arial" w:hAnsi="Arial"/>
        <w:color w:val="B1B1B1" w:themeColor="accent4" w:themeTint="9A" w:themeShade="95"/>
        <w:sz w:val="22"/>
      </w:rPr>
      <w:tblPr/>
      <w:tcPr>
        <w:shd w:val="clear" w:color="DEDEDE" w:themeColor="accent4" w:themeTint="40" w:fill="DEDEDE" w:themeFill="accent4" w:themeFillTint="40"/>
      </w:tcPr>
    </w:tblStylePr>
    <w:tblStylePr w:type="band2Horz">
      <w:rPr>
        <w:rFonts w:ascii="Arial" w:hAnsi="Arial"/>
        <w:color w:val="B1B1B1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6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6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1EBB5" w:themeColor="accent1" w:themeTint="50" w:fill="D1EBB5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1EBB5" w:themeColor="accent1" w:themeTint="50" w:fill="D1EBB5" w:themeFill="accent1" w:themeFillTint="50"/>
      </w:tcPr>
    </w:tblStylePr>
  </w:style>
  <w:style w:type="table" w:customStyle="1" w:styleId="Lined-Accent2">
    <w:name w:val="Lined - Accent 2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</w:style>
  <w:style w:type="table" w:customStyle="1" w:styleId="Lined-Accent3">
    <w:name w:val="Lined - Accent 3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</w:style>
  <w:style w:type="table" w:customStyle="1" w:styleId="Lined-Accent4">
    <w:name w:val="Lined - Accent 4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</w:style>
  <w:style w:type="table" w:customStyle="1" w:styleId="Lined-Accent5">
    <w:name w:val="Lined - Accent 5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40621A" w:themeColor="accent1" w:themeShade="95"/>
        <w:left w:val="single" w:sz="4" w:space="0" w:color="40621A" w:themeColor="accent1" w:themeShade="95"/>
        <w:bottom w:val="single" w:sz="4" w:space="0" w:color="40621A" w:themeColor="accent1" w:themeShade="95"/>
        <w:right w:val="single" w:sz="4" w:space="0" w:color="40621A" w:themeColor="accent1" w:themeShade="95"/>
        <w:insideH w:val="single" w:sz="4" w:space="0" w:color="40621A" w:themeColor="accent1" w:themeShade="95"/>
        <w:insideV w:val="single" w:sz="4" w:space="0" w:color="40621A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1EBB5" w:themeColor="accent1" w:themeTint="50" w:fill="D1EBB5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1EBB5" w:themeColor="accent1" w:themeTint="50" w:fill="D1EBB5" w:themeFill="accent1" w:themeFillTint="50"/>
      </w:tcPr>
    </w:tblStylePr>
  </w:style>
  <w:style w:type="table" w:customStyle="1" w:styleId="BorderedLined-Accent2">
    <w:name w:val="Bordered &amp; Lined - Accent 2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444141" w:themeColor="accent2" w:themeShade="95"/>
        <w:left w:val="single" w:sz="4" w:space="0" w:color="444141" w:themeColor="accent2" w:themeShade="95"/>
        <w:bottom w:val="single" w:sz="4" w:space="0" w:color="444141" w:themeColor="accent2" w:themeShade="95"/>
        <w:right w:val="single" w:sz="4" w:space="0" w:color="444141" w:themeColor="accent2" w:themeShade="95"/>
        <w:insideH w:val="single" w:sz="4" w:space="0" w:color="444141" w:themeColor="accent2" w:themeShade="95"/>
        <w:insideV w:val="single" w:sz="4" w:space="0" w:color="444141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</w:style>
  <w:style w:type="table" w:customStyle="1" w:styleId="BorderedLined-Accent3">
    <w:name w:val="Bordered &amp; Lined - Accent 3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B80101" w:themeColor="accent3" w:themeShade="95"/>
        <w:left w:val="single" w:sz="4" w:space="0" w:color="B80101" w:themeColor="accent3" w:themeShade="95"/>
        <w:bottom w:val="single" w:sz="4" w:space="0" w:color="B80101" w:themeColor="accent3" w:themeShade="95"/>
        <w:right w:val="single" w:sz="4" w:space="0" w:color="B80101" w:themeColor="accent3" w:themeShade="95"/>
        <w:insideH w:val="single" w:sz="4" w:space="0" w:color="B80101" w:themeColor="accent3" w:themeShade="95"/>
        <w:insideV w:val="single" w:sz="4" w:space="0" w:color="B80101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</w:style>
  <w:style w:type="table" w:customStyle="1" w:styleId="BorderedLined-Accent4">
    <w:name w:val="Bordered &amp; Lined - Accent 4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4A4A4A" w:themeColor="accent4" w:themeShade="95"/>
        <w:left w:val="single" w:sz="4" w:space="0" w:color="4A4A4A" w:themeColor="accent4" w:themeShade="95"/>
        <w:bottom w:val="single" w:sz="4" w:space="0" w:color="4A4A4A" w:themeColor="accent4" w:themeShade="95"/>
        <w:right w:val="single" w:sz="4" w:space="0" w:color="4A4A4A" w:themeColor="accent4" w:themeShade="95"/>
        <w:insideH w:val="single" w:sz="4" w:space="0" w:color="4A4A4A" w:themeColor="accent4" w:themeShade="95"/>
        <w:insideV w:val="single" w:sz="4" w:space="0" w:color="4A4A4A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</w:style>
  <w:style w:type="table" w:customStyle="1" w:styleId="BorderedLined-Accent5">
    <w:name w:val="Bordered &amp; Lined - Accent 5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6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6"/>
    <w:uiPriority w:val="99"/>
    <w:tblPr>
      <w:tblStyleRowBandSize w:val="1"/>
      <w:tblStyleColBandSize w:val="1"/>
      <w:tblBorders>
        <w:top w:val="single" w:sz="4" w:space="0" w:color="C4E5A0" w:themeColor="accent1" w:themeTint="67"/>
        <w:left w:val="single" w:sz="4" w:space="0" w:color="C4E5A0" w:themeColor="accent1" w:themeTint="67"/>
        <w:bottom w:val="single" w:sz="4" w:space="0" w:color="C4E5A0" w:themeColor="accent1" w:themeTint="67"/>
        <w:right w:val="single" w:sz="4" w:space="0" w:color="C4E5A0" w:themeColor="accent1" w:themeTint="67"/>
        <w:insideH w:val="single" w:sz="4" w:space="0" w:color="C4E5A0" w:themeColor="accent1" w:themeTint="67"/>
        <w:insideV w:val="single" w:sz="4" w:space="0" w:color="C4E5A0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6EA92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6EA92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6EA92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E5A0" w:themeColor="accent1" w:themeTint="67"/>
          <w:left w:val="single" w:sz="4" w:space="0" w:color="C4E5A0" w:themeColor="accent1" w:themeTint="67"/>
          <w:bottom w:val="single" w:sz="4" w:space="0" w:color="C4E5A0" w:themeColor="accent1" w:themeTint="67"/>
          <w:right w:val="single" w:sz="4" w:space="0" w:color="C4E5A0" w:themeColor="accent1" w:themeTint="67"/>
        </w:tcBorders>
      </w:tcPr>
    </w:tblStylePr>
  </w:style>
  <w:style w:type="table" w:customStyle="1" w:styleId="Bordered-Accent2">
    <w:name w:val="Bordered - Accent 2"/>
    <w:basedOn w:val="a6"/>
    <w:uiPriority w:val="99"/>
    <w:tblPr>
      <w:tblStyleRowBandSize w:val="1"/>
      <w:tblStyleColBandSize w:val="1"/>
      <w:tblBorders>
        <w:top w:val="single" w:sz="4" w:space="0" w:color="C7C4C4" w:themeColor="accent2" w:themeTint="67"/>
        <w:left w:val="single" w:sz="4" w:space="0" w:color="C7C4C4" w:themeColor="accent2" w:themeTint="67"/>
        <w:bottom w:val="single" w:sz="4" w:space="0" w:color="C7C4C4" w:themeColor="accent2" w:themeTint="67"/>
        <w:right w:val="single" w:sz="4" w:space="0" w:color="C7C4C4" w:themeColor="accent2" w:themeTint="67"/>
        <w:insideH w:val="single" w:sz="4" w:space="0" w:color="C7C4C4" w:themeColor="accent2" w:themeTint="67"/>
        <w:insideV w:val="single" w:sz="4" w:space="0" w:color="C7C4C4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DA9A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DA9A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DA9A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C4C4" w:themeColor="accent2" w:themeTint="67"/>
          <w:left w:val="single" w:sz="4" w:space="0" w:color="C7C4C4" w:themeColor="accent2" w:themeTint="67"/>
          <w:bottom w:val="single" w:sz="4" w:space="0" w:color="C7C4C4" w:themeColor="accent2" w:themeTint="67"/>
          <w:right w:val="single" w:sz="4" w:space="0" w:color="C7C4C4" w:themeColor="accent2" w:themeTint="67"/>
        </w:tcBorders>
      </w:tcPr>
    </w:tblStylePr>
  </w:style>
  <w:style w:type="table" w:customStyle="1" w:styleId="Bordered-Accent3">
    <w:name w:val="Bordered - Accent 3"/>
    <w:basedOn w:val="a6"/>
    <w:uiPriority w:val="99"/>
    <w:tblPr>
      <w:tblStyleRowBandSize w:val="1"/>
      <w:tblStyleColBandSize w:val="1"/>
      <w:tblBorders>
        <w:top w:val="single" w:sz="4" w:space="0" w:color="FEB1B1" w:themeColor="accent3" w:themeTint="67"/>
        <w:left w:val="single" w:sz="4" w:space="0" w:color="FEB1B1" w:themeColor="accent3" w:themeTint="67"/>
        <w:bottom w:val="single" w:sz="4" w:space="0" w:color="FEB1B1" w:themeColor="accent3" w:themeTint="67"/>
        <w:right w:val="single" w:sz="4" w:space="0" w:color="FEB1B1" w:themeColor="accent3" w:themeTint="67"/>
        <w:insideH w:val="single" w:sz="4" w:space="0" w:color="FEB1B1" w:themeColor="accent3" w:themeTint="67"/>
        <w:insideV w:val="single" w:sz="4" w:space="0" w:color="FEB1B1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E8C8C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E8C8C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E8C8C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B1B1" w:themeColor="accent3" w:themeTint="67"/>
          <w:left w:val="single" w:sz="4" w:space="0" w:color="FEB1B1" w:themeColor="accent3" w:themeTint="67"/>
          <w:bottom w:val="single" w:sz="4" w:space="0" w:color="FEB1B1" w:themeColor="accent3" w:themeTint="67"/>
          <w:right w:val="single" w:sz="4" w:space="0" w:color="FEB1B1" w:themeColor="accent3" w:themeTint="67"/>
        </w:tcBorders>
      </w:tcPr>
    </w:tblStylePr>
  </w:style>
  <w:style w:type="table" w:customStyle="1" w:styleId="Bordered-Accent4">
    <w:name w:val="Bordered - Accent 4"/>
    <w:basedOn w:val="a6"/>
    <w:uiPriority w:val="99"/>
    <w:tblPr>
      <w:tblStyleRowBandSize w:val="1"/>
      <w:tblStyleColBandSize w:val="1"/>
      <w:tblBorders>
        <w:top w:val="single" w:sz="4" w:space="0" w:color="CBCBCB" w:themeColor="accent4" w:themeTint="67"/>
        <w:left w:val="single" w:sz="4" w:space="0" w:color="CBCBCB" w:themeColor="accent4" w:themeTint="67"/>
        <w:bottom w:val="single" w:sz="4" w:space="0" w:color="CBCBCB" w:themeColor="accent4" w:themeTint="67"/>
        <w:right w:val="single" w:sz="4" w:space="0" w:color="CBCBCB" w:themeColor="accent4" w:themeTint="67"/>
        <w:insideH w:val="single" w:sz="4" w:space="0" w:color="CBCBCB" w:themeColor="accent4" w:themeTint="67"/>
        <w:insideV w:val="single" w:sz="4" w:space="0" w:color="CBCBCB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1B1B1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1B1B1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1B1B1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BCB" w:themeColor="accent4" w:themeTint="67"/>
          <w:left w:val="single" w:sz="4" w:space="0" w:color="CBCBCB" w:themeColor="accent4" w:themeTint="67"/>
          <w:bottom w:val="single" w:sz="4" w:space="0" w:color="CBCBCB" w:themeColor="accent4" w:themeTint="67"/>
          <w:right w:val="single" w:sz="4" w:space="0" w:color="CBCBCB" w:themeColor="accent4" w:themeTint="67"/>
        </w:tcBorders>
      </w:tcPr>
    </w:tblStylePr>
  </w:style>
  <w:style w:type="table" w:customStyle="1" w:styleId="Bordered-Accent5">
    <w:name w:val="Bordered - Accent 5"/>
    <w:basedOn w:val="a6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6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3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5"/>
    <w:uiPriority w:val="99"/>
    <w:unhideWhenUsed/>
    <w:rPr>
      <w:vertAlign w:val="superscript"/>
    </w:rPr>
  </w:style>
  <w:style w:type="paragraph" w:styleId="af0">
    <w:name w:val="endnote text"/>
    <w:basedOn w:val="a3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5"/>
    <w:uiPriority w:val="99"/>
    <w:semiHidden/>
    <w:unhideWhenUsed/>
    <w:rPr>
      <w:vertAlign w:val="superscript"/>
    </w:rPr>
  </w:style>
  <w:style w:type="paragraph" w:styleId="12">
    <w:name w:val="toc 1"/>
    <w:basedOn w:val="a3"/>
    <w:next w:val="a3"/>
    <w:uiPriority w:val="39"/>
    <w:unhideWhenUsed/>
    <w:pPr>
      <w:spacing w:after="57"/>
    </w:pPr>
  </w:style>
  <w:style w:type="paragraph" w:styleId="24">
    <w:name w:val="toc 2"/>
    <w:basedOn w:val="a3"/>
    <w:next w:val="a3"/>
    <w:uiPriority w:val="39"/>
    <w:unhideWhenUsed/>
    <w:pPr>
      <w:spacing w:after="57"/>
      <w:ind w:left="283"/>
    </w:pPr>
  </w:style>
  <w:style w:type="paragraph" w:styleId="32">
    <w:name w:val="toc 3"/>
    <w:basedOn w:val="a3"/>
    <w:next w:val="a3"/>
    <w:uiPriority w:val="39"/>
    <w:unhideWhenUsed/>
    <w:pPr>
      <w:spacing w:after="57"/>
      <w:ind w:left="567"/>
    </w:pPr>
  </w:style>
  <w:style w:type="paragraph" w:styleId="42">
    <w:name w:val="toc 4"/>
    <w:basedOn w:val="a3"/>
    <w:next w:val="a3"/>
    <w:uiPriority w:val="39"/>
    <w:unhideWhenUsed/>
    <w:pPr>
      <w:spacing w:after="57"/>
      <w:ind w:left="850"/>
    </w:pPr>
  </w:style>
  <w:style w:type="paragraph" w:styleId="52">
    <w:name w:val="toc 5"/>
    <w:basedOn w:val="a3"/>
    <w:next w:val="a3"/>
    <w:uiPriority w:val="39"/>
    <w:unhideWhenUsed/>
    <w:pPr>
      <w:spacing w:after="57"/>
      <w:ind w:left="1134"/>
    </w:pPr>
  </w:style>
  <w:style w:type="paragraph" w:styleId="61">
    <w:name w:val="toc 6"/>
    <w:basedOn w:val="a3"/>
    <w:next w:val="a3"/>
    <w:uiPriority w:val="39"/>
    <w:unhideWhenUsed/>
    <w:pPr>
      <w:spacing w:after="57"/>
      <w:ind w:left="1417"/>
    </w:pPr>
  </w:style>
  <w:style w:type="paragraph" w:styleId="71">
    <w:name w:val="toc 7"/>
    <w:basedOn w:val="a3"/>
    <w:next w:val="a3"/>
    <w:uiPriority w:val="39"/>
    <w:unhideWhenUsed/>
    <w:pPr>
      <w:spacing w:after="57"/>
      <w:ind w:left="1701"/>
    </w:pPr>
  </w:style>
  <w:style w:type="paragraph" w:styleId="81">
    <w:name w:val="toc 8"/>
    <w:basedOn w:val="a3"/>
    <w:next w:val="a3"/>
    <w:uiPriority w:val="39"/>
    <w:unhideWhenUsed/>
    <w:pPr>
      <w:spacing w:after="57"/>
      <w:ind w:left="1984"/>
    </w:pPr>
  </w:style>
  <w:style w:type="paragraph" w:styleId="91">
    <w:name w:val="toc 9"/>
    <w:basedOn w:val="a3"/>
    <w:next w:val="a3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3"/>
    <w:next w:val="a3"/>
    <w:uiPriority w:val="99"/>
    <w:unhideWhenUsed/>
  </w:style>
  <w:style w:type="paragraph" w:styleId="af5">
    <w:name w:val="List Paragraph"/>
    <w:basedOn w:val="a3"/>
    <w:uiPriority w:val="34"/>
    <w:qFormat/>
    <w:pPr>
      <w:spacing w:before="60"/>
      <w:ind w:left="709" w:hanging="284"/>
    </w:pPr>
  </w:style>
  <w:style w:type="paragraph" w:styleId="af6">
    <w:name w:val="header"/>
    <w:basedOn w:val="a3"/>
    <w:link w:val="af7"/>
    <w:unhideWhenUsed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7">
    <w:name w:val="Верхний колонтитул Знак"/>
    <w:basedOn w:val="a5"/>
    <w:link w:val="af6"/>
    <w:uiPriority w:val="99"/>
    <w:rPr>
      <w:rFonts w:ascii="Arial" w:eastAsia="Calibri" w:hAnsi="Arial"/>
      <w:color w:val="404040"/>
      <w:sz w:val="18"/>
      <w:lang w:eastAsia="en-US"/>
    </w:rPr>
  </w:style>
  <w:style w:type="character" w:styleId="af8">
    <w:name w:val="Hyperlink"/>
    <w:basedOn w:val="a5"/>
    <w:qFormat/>
    <w:rPr>
      <w:rFonts w:eastAsia="Times New Roman"/>
      <w:color w:val="4F81BD"/>
      <w:u w:val="single"/>
      <w:lang w:val="ru-RU" w:eastAsia="ru-RU"/>
    </w:rPr>
  </w:style>
  <w:style w:type="paragraph" w:styleId="a4">
    <w:name w:val="Body Text"/>
    <w:basedOn w:val="a3"/>
    <w:link w:val="af9"/>
    <w:qFormat/>
    <w:rPr>
      <w:rFonts w:eastAsia="Times New Roman"/>
      <w:lang w:eastAsia="ru-RU"/>
    </w:rPr>
  </w:style>
  <w:style w:type="character" w:customStyle="1" w:styleId="af9">
    <w:name w:val="Основной текст Знак"/>
    <w:basedOn w:val="a5"/>
    <w:link w:val="a4"/>
    <w:rPr>
      <w:rFonts w:ascii="Arial" w:hAnsi="Arial"/>
    </w:rPr>
  </w:style>
  <w:style w:type="paragraph" w:customStyle="1" w:styleId="afa">
    <w:name w:val="Кнопка"/>
    <w:basedOn w:val="a4"/>
    <w:next w:val="a4"/>
    <w:qFormat/>
    <w:pPr>
      <w:spacing w:before="0"/>
    </w:pPr>
    <w:rPr>
      <w:b/>
      <w:u w:val="single"/>
    </w:rPr>
  </w:style>
  <w:style w:type="paragraph" w:styleId="a1">
    <w:name w:val="List Bullet"/>
    <w:basedOn w:val="af5"/>
    <w:qFormat/>
    <w:pPr>
      <w:numPr>
        <w:numId w:val="4"/>
      </w:numPr>
    </w:pPr>
  </w:style>
  <w:style w:type="paragraph" w:styleId="afb">
    <w:name w:val="Title"/>
    <w:basedOn w:val="a4"/>
    <w:next w:val="a3"/>
    <w:link w:val="afc"/>
    <w:uiPriority w:val="10"/>
    <w:qFormat/>
    <w:pPr>
      <w:pBdr>
        <w:bottom w:val="single" w:sz="18" w:space="1" w:color="1F497D"/>
      </w:pBdr>
      <w:spacing w:before="0" w:after="360"/>
      <w:jc w:val="left"/>
    </w:pPr>
    <w:rPr>
      <w:color w:val="1F497D"/>
      <w:sz w:val="40"/>
    </w:rPr>
  </w:style>
  <w:style w:type="character" w:customStyle="1" w:styleId="afc">
    <w:name w:val="Заголовок Знак"/>
    <w:basedOn w:val="a5"/>
    <w:link w:val="afb"/>
    <w:uiPriority w:val="10"/>
    <w:rPr>
      <w:rFonts w:ascii="Arial" w:hAnsi="Arial"/>
      <w:color w:val="1F497D"/>
      <w:sz w:val="40"/>
    </w:rPr>
  </w:style>
  <w:style w:type="paragraph" w:styleId="afd">
    <w:name w:val="caption"/>
    <w:basedOn w:val="a3"/>
    <w:next w:val="a3"/>
    <w:uiPriority w:val="35"/>
    <w:qFormat/>
    <w:pPr>
      <w:spacing w:before="120" w:after="120"/>
      <w:jc w:val="right"/>
    </w:pPr>
    <w:rPr>
      <w:bCs/>
      <w:szCs w:val="18"/>
    </w:rPr>
  </w:style>
  <w:style w:type="paragraph" w:customStyle="1" w:styleId="afe">
    <w:name w:val="Название поля/пункт меню"/>
    <w:basedOn w:val="a4"/>
    <w:qFormat/>
    <w:pPr>
      <w:spacing w:before="0"/>
    </w:pPr>
    <w:rPr>
      <w:i/>
    </w:rPr>
  </w:style>
  <w:style w:type="paragraph" w:customStyle="1" w:styleId="aff">
    <w:name w:val="Название справочника"/>
    <w:basedOn w:val="a4"/>
    <w:next w:val="a4"/>
    <w:qFormat/>
    <w:pPr>
      <w:spacing w:before="0"/>
    </w:pPr>
    <w:rPr>
      <w:b/>
    </w:rPr>
  </w:style>
  <w:style w:type="paragraph" w:styleId="aff0">
    <w:name w:val="footer"/>
    <w:basedOn w:val="a3"/>
    <w:link w:val="aff1"/>
    <w:uiPriority w:val="99"/>
    <w:unhideWhenUsed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f1">
    <w:name w:val="Нижний колонтитул Знак"/>
    <w:basedOn w:val="a5"/>
    <w:link w:val="aff0"/>
    <w:uiPriority w:val="99"/>
    <w:rPr>
      <w:rFonts w:ascii="Arial" w:eastAsia="Calibri" w:hAnsi="Arial"/>
      <w:color w:val="404040"/>
      <w:sz w:val="18"/>
      <w:lang w:val="ru-RU" w:eastAsia="en-US" w:bidi="ar-SA"/>
    </w:rPr>
  </w:style>
  <w:style w:type="paragraph" w:styleId="a2">
    <w:name w:val="List Number"/>
    <w:basedOn w:val="af5"/>
    <w:uiPriority w:val="99"/>
    <w:unhideWhenUsed/>
    <w:pPr>
      <w:numPr>
        <w:numId w:val="1"/>
      </w:numPr>
      <w:spacing w:before="160"/>
    </w:pPr>
  </w:style>
  <w:style w:type="character" w:customStyle="1" w:styleId="aff2">
    <w:name w:val="Определение"/>
    <w:basedOn w:val="af9"/>
    <w:qFormat/>
    <w:rPr>
      <w:rFonts w:ascii="Arial" w:eastAsia="Times New Roman" w:hAnsi="Arial"/>
      <w:i/>
      <w:color w:val="1F497D"/>
      <w:u w:val="none"/>
      <w:lang w:val="ru-RU" w:eastAsia="ru-RU"/>
    </w:rPr>
  </w:style>
  <w:style w:type="character" w:customStyle="1" w:styleId="aff3">
    <w:name w:val="Пояснение к заполнению"/>
    <w:basedOn w:val="a5"/>
    <w:uiPriority w:val="1"/>
    <w:qFormat/>
    <w:rPr>
      <w:rFonts w:ascii="Arial" w:hAnsi="Arial"/>
      <w:i/>
      <w:color w:val="C0504D"/>
      <w:sz w:val="20"/>
    </w:rPr>
  </w:style>
  <w:style w:type="paragraph" w:customStyle="1" w:styleId="aff4">
    <w:name w:val="Пример кода"/>
    <w:basedOn w:val="a4"/>
    <w:qFormat/>
    <w:pPr>
      <w:shd w:val="clear" w:color="auto" w:fill="F2F2F2"/>
      <w:spacing w:before="0"/>
    </w:pPr>
    <w:rPr>
      <w:rFonts w:ascii="Courier New" w:hAnsi="Courier New"/>
    </w:rPr>
  </w:style>
  <w:style w:type="paragraph" w:customStyle="1" w:styleId="aff5">
    <w:name w:val="Примечание"/>
    <w:basedOn w:val="a4"/>
    <w:qFormat/>
    <w:pPr>
      <w:keepNext/>
      <w:keepLines/>
      <w:pBdr>
        <w:top w:val="single" w:sz="4" w:space="4" w:color="808080"/>
        <w:left w:val="single" w:sz="4" w:space="4" w:color="808080"/>
        <w:bottom w:val="single" w:sz="4" w:space="4" w:color="808080"/>
        <w:right w:val="single" w:sz="4" w:space="4" w:color="808080"/>
      </w:pBdr>
    </w:pPr>
  </w:style>
  <w:style w:type="table" w:styleId="aff6">
    <w:name w:val="Table Grid"/>
    <w:basedOn w:val="a6"/>
    <w:pPr>
      <w:jc w:val="both"/>
    </w:pPr>
    <w:rPr>
      <w:rFonts w:ascii="Arial" w:hAnsi="Arial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0">
    <w:name w:val="Список эталон"/>
    <w:uiPriority w:val="99"/>
    <w:pPr>
      <w:numPr>
        <w:numId w:val="2"/>
      </w:numPr>
    </w:pPr>
  </w:style>
  <w:style w:type="paragraph" w:customStyle="1" w:styleId="a">
    <w:name w:val="Стиль списка для веб"/>
    <w:basedOn w:val="a3"/>
    <w:pPr>
      <w:numPr>
        <w:numId w:val="3"/>
      </w:numPr>
    </w:pPr>
    <w:rPr>
      <w:rFonts w:eastAsia="Times New Roman"/>
      <w:lang w:eastAsia="ru-RU"/>
    </w:rPr>
  </w:style>
  <w:style w:type="table" w:customStyle="1" w:styleId="aff7">
    <w:name w:val="Таблица НПО"/>
    <w:basedOn w:val="a6"/>
    <w:uiPriority w:val="99"/>
    <w:qFormat/>
    <w:rPr>
      <w:rFonts w:ascii="Arial" w:hAnsi="Arial"/>
      <w:lang w:eastAsia="en-US"/>
    </w:rPr>
    <w:tblPr>
      <w:tblStyleRowBandSize w:val="1"/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tcMar>
        <w:top w:w="40" w:type="dxa"/>
        <w:bottom w:w="40" w:type="dxa"/>
      </w:tcMar>
      <w:vAlign w:val="center"/>
    </w:tcPr>
    <w:tblStylePr w:type="firstRow">
      <w:pPr>
        <w:spacing w:before="0" w:beforeAutospacing="0" w:after="0" w:afterAutospacing="0" w:line="240" w:lineRule="auto"/>
        <w:ind w:left="0" w:right="0" w:firstLine="0"/>
        <w:contextualSpacing w:val="0"/>
        <w:jc w:val="left"/>
        <w:outlineLvl w:val="9"/>
      </w:pPr>
      <w:rPr>
        <w:rFonts w:ascii="Arial" w:hAnsi="Arial"/>
        <w:sz w:val="20"/>
      </w:rPr>
      <w:tblPr/>
      <w:trPr>
        <w:tblHeader/>
      </w:trPr>
      <w:tcPr>
        <w:shd w:val="clear" w:color="auto" w:fill="BFBFBF"/>
        <w:tcMar>
          <w:top w:w="113" w:type="dxa"/>
          <w:left w:w="0" w:type="nil"/>
          <w:bottom w:w="113" w:type="dxa"/>
          <w:right w:w="0" w:type="nil"/>
        </w:tcMar>
        <w:vAlign w:val="center"/>
      </w:tcPr>
    </w:tblStylePr>
    <w:tblStylePr w:type="band1Horz">
      <w:pPr>
        <w:widowControl/>
        <w:spacing w:before="0" w:beforeAutospacing="0" w:after="0" w:afterAutospacing="0" w:line="240" w:lineRule="auto"/>
        <w:ind w:left="0" w:right="0" w:firstLine="0"/>
        <w:contextualSpacing w:val="0"/>
        <w:outlineLvl w:val="9"/>
      </w:pPr>
      <w:rPr>
        <w:rFonts w:ascii="Arial" w:hAnsi="Arial"/>
        <w:b w:val="0"/>
        <w:i w:val="0"/>
        <w:sz w:val="20"/>
        <w:szCs w:val="20"/>
      </w:rPr>
    </w:tblStylePr>
    <w:tblStylePr w:type="band2Horz">
      <w:pPr>
        <w:widowControl/>
        <w:spacing w:before="0" w:beforeAutospacing="0" w:after="0" w:afterAutospacing="0" w:line="240" w:lineRule="auto"/>
        <w:ind w:left="0" w:right="0" w:firstLine="0"/>
        <w:contextualSpacing w:val="0"/>
        <w:jc w:val="left"/>
        <w:outlineLvl w:val="9"/>
      </w:pPr>
      <w:rPr>
        <w:rFonts w:ascii="Arial" w:hAnsi="Arial"/>
        <w:sz w:val="20"/>
      </w:rPr>
      <w:tblPr/>
      <w:tcPr>
        <w:shd w:val="clear" w:color="auto" w:fill="F2F2F2"/>
      </w:tcPr>
    </w:tblStylePr>
  </w:style>
  <w:style w:type="paragraph" w:styleId="aff8">
    <w:name w:val="Balloon Text"/>
    <w:basedOn w:val="a3"/>
    <w:link w:val="aff9"/>
    <w:uiPriority w:val="99"/>
    <w:semiHidden/>
    <w:unhideWhenUsed/>
    <w:pPr>
      <w:spacing w:before="0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5"/>
    <w:link w:val="aff8"/>
    <w:uiPriority w:val="99"/>
    <w:semiHidden/>
    <w:rPr>
      <w:rFonts w:ascii="Tahoma" w:eastAsia="Calibri" w:hAnsi="Tahoma" w:cs="Tahoma"/>
      <w:sz w:val="16"/>
      <w:szCs w:val="16"/>
      <w:lang w:eastAsia="en-US"/>
    </w:rPr>
  </w:style>
  <w:style w:type="paragraph" w:styleId="affa">
    <w:name w:val="annotation text"/>
    <w:basedOn w:val="a3"/>
    <w:link w:val="affb"/>
    <w:pPr>
      <w:spacing w:before="0"/>
    </w:pPr>
    <w:rPr>
      <w:rFonts w:eastAsia="Times New Roman"/>
      <w:lang w:eastAsia="ru-RU"/>
    </w:rPr>
  </w:style>
  <w:style w:type="character" w:customStyle="1" w:styleId="affb">
    <w:name w:val="Текст примечания Знак"/>
    <w:basedOn w:val="a5"/>
    <w:link w:val="affa"/>
    <w:rPr>
      <w:rFonts w:ascii="Arial" w:hAnsi="Arial"/>
    </w:rPr>
  </w:style>
  <w:style w:type="character" w:customStyle="1" w:styleId="affc">
    <w:name w:val="Участник процесса"/>
    <w:basedOn w:val="af9"/>
    <w:qFormat/>
    <w:rPr>
      <w:rFonts w:ascii="Arial" w:eastAsia="Times New Roman" w:hAnsi="Arial"/>
      <w:b/>
      <w:i/>
      <w:sz w:val="20"/>
      <w:lang w:val="ru-RU" w:eastAsia="ru-RU"/>
    </w:rPr>
  </w:style>
  <w:style w:type="paragraph" w:customStyle="1" w:styleId="affd">
    <w:name w:val="Текст таблицы"/>
    <w:basedOn w:val="a4"/>
    <w:pPr>
      <w:spacing w:before="0"/>
    </w:pPr>
  </w:style>
  <w:style w:type="table" w:styleId="53">
    <w:name w:val="Table Columns 5"/>
    <w:basedOn w:val="a6"/>
    <w:pPr>
      <w:spacing w:before="16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e">
    <w:name w:val="Placeholder Text"/>
    <w:basedOn w:val="a5"/>
    <w:uiPriority w:val="99"/>
    <w:semiHidden/>
    <w:rPr>
      <w:color w:val="808080"/>
    </w:rPr>
  </w:style>
  <w:style w:type="character" w:styleId="afff">
    <w:name w:val="FollowedHyperlink"/>
    <w:basedOn w:val="a5"/>
    <w:semiHidden/>
    <w:unhideWhenUsed/>
    <w:rPr>
      <w:color w:val="954F72" w:themeColor="followedHyperlink"/>
      <w:u w:val="single"/>
    </w:rPr>
  </w:style>
  <w:style w:type="table" w:customStyle="1" w:styleId="13">
    <w:name w:val="Сетка таблицы1"/>
    <w:basedOn w:val="a6"/>
    <w:next w:val="aff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0">
    <w:name w:val="Исполнитель"/>
    <w:basedOn w:val="a3"/>
    <w:pPr>
      <w:spacing w:before="0"/>
      <w:ind w:left="-108"/>
      <w:jc w:val="left"/>
    </w:pPr>
    <w:rPr>
      <w:rFonts w:ascii="Times New Roman" w:eastAsia="Times New Roman" w:hAnsi="Times New Roman"/>
      <w:szCs w:val="24"/>
      <w:lang w:eastAsia="ru-RU"/>
    </w:rPr>
  </w:style>
  <w:style w:type="paragraph" w:customStyle="1" w:styleId="docdata">
    <w:name w:val="docdata"/>
    <w:basedOn w:val="a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1">
    <w:name w:val="Normal (Web)"/>
    <w:basedOn w:val="a3"/>
    <w:uiPriority w:val="99"/>
    <w:unhideWhenUsed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pPr>
      <w:widowControl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FORMATTEXT">
    <w:name w:val=".FORMATTEXT"/>
    <w:uiPriority w:val="99"/>
    <w:pPr>
      <w:widowControl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300">
                <a:latin typeface="PT Astra Serif"/>
                <a:ea typeface="PT Astra Serif"/>
              </a:rPr>
              <a:t> </a:t>
            </a:r>
            <a:r>
              <a:rPr lang="ru-RU" sz="1300">
                <a:solidFill>
                  <a:sysClr val="windowText" lastClr="000000"/>
                </a:solidFill>
                <a:latin typeface="PT Astra Serif"/>
                <a:ea typeface="PT Astra Serif"/>
              </a:rPr>
              <a:t>Динамика изменений показателей Программы  комплексного развития социальной инфраструктуры по результатам мониторинга за период </a:t>
            </a:r>
            <a:r>
              <a:rPr lang="en-US" sz="1300">
                <a:solidFill>
                  <a:sysClr val="windowText" lastClr="000000"/>
                </a:solidFill>
                <a:latin typeface="PT Astra Serif"/>
                <a:ea typeface="PT Astra Serif"/>
              </a:rPr>
              <a:t>II </a:t>
            </a:r>
            <a:r>
              <a:rPr lang="ru-RU" sz="1300">
                <a:solidFill>
                  <a:sysClr val="windowText" lastClr="000000"/>
                </a:solidFill>
                <a:latin typeface="PT Astra Serif"/>
                <a:ea typeface="PT Astra Serif"/>
              </a:rPr>
              <a:t>полугодие 2024 года - </a:t>
            </a:r>
            <a:r>
              <a:rPr lang="en-US" sz="1300">
                <a:solidFill>
                  <a:sysClr val="windowText" lastClr="000000"/>
                </a:solidFill>
                <a:latin typeface="PT Astra Serif"/>
                <a:ea typeface="PT Astra Serif"/>
              </a:rPr>
              <a:t>II </a:t>
            </a:r>
            <a:r>
              <a:rPr lang="ru-RU" sz="1300">
                <a:solidFill>
                  <a:sysClr val="windowText" lastClr="000000"/>
                </a:solidFill>
                <a:latin typeface="PT Astra Serif"/>
                <a:ea typeface="PT Astra Serif"/>
              </a:rPr>
              <a:t>полугодие 2025 года</a:t>
            </a:r>
            <a:endParaRPr lang="ru-RU"/>
          </a:p>
        </c:rich>
      </c:tx>
      <c:layout>
        <c:manualLayout>
          <c:xMode val="edge"/>
          <c:yMode val="edge"/>
          <c:x val="0.103588"/>
          <c:y val="2.4268000000000001E-2"/>
        </c:manualLayout>
      </c:layout>
      <c:overlay val="0"/>
      <c:spPr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8.4083000000000005E-2"/>
          <c:y val="0.21617700000000001"/>
          <c:w val="0.89487499999999998"/>
          <c:h val="0.401330000000000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муниципальных образований, в которых  утверждены Программы комплексного развития социальной инфраструктуры</c:v>
                </c:pt>
              </c:strCache>
            </c:strRef>
          </c:tx>
          <c:spPr>
            <a:prstGeom prst="rect">
              <a:avLst/>
            </a:prstGeom>
            <a:gradFill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II полугодие 2024 г.</c:v>
                </c:pt>
                <c:pt idx="1">
                  <c:v>I полугодие 2025 г.</c:v>
                </c:pt>
                <c:pt idx="2">
                  <c:v>II полугодие 2025 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73.099999999999994</c:v>
                </c:pt>
                <c:pt idx="1">
                  <c:v>77.3</c:v>
                </c:pt>
                <c:pt idx="2">
                  <c:v>82.4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FA-4F71-A193-FFE1A3D10C1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муниципальных образований, в которых  утвержденные Программы комплексного развития социальной инфраструктуры соответствуют Постановлению Правительства РФ №1050 от  01.10.2015</c:v>
                </c:pt>
              </c:strCache>
            </c:strRef>
          </c:tx>
          <c:spPr>
            <a:prstGeom prst="rect">
              <a:avLst/>
            </a:prstGeom>
            <a:gradFill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II полугодие 2024 г.</c:v>
                </c:pt>
                <c:pt idx="1">
                  <c:v>I полугодие 2025 г.</c:v>
                </c:pt>
                <c:pt idx="2">
                  <c:v>II полугодие 2025 г.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47.8</c:v>
                </c:pt>
                <c:pt idx="1">
                  <c:v>51.4</c:v>
                </c:pt>
                <c:pt idx="2">
                  <c:v>72.3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FA-4F71-A193-FFE1A3D10C1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муниципальных образований, в которых  не утверждены Программы комплексного развития социальной инфраструктуры</c:v>
                </c:pt>
              </c:strCache>
            </c:strRef>
          </c:tx>
          <c:spPr>
            <a:prstGeom prst="rect">
              <a:avLst/>
            </a:prstGeom>
            <a:gradFill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II полугодие 2024 г.</c:v>
                </c:pt>
                <c:pt idx="1">
                  <c:v>I полугодие 2025 г.</c:v>
                </c:pt>
                <c:pt idx="2">
                  <c:v>II полугодие 2025 г.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26.9</c:v>
                </c:pt>
                <c:pt idx="1">
                  <c:v>22.7</c:v>
                </c:pt>
                <c:pt idx="2">
                  <c:v>17.600000000000001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EFA-4F71-A193-FFE1A3D10C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6"/>
        <c:overlap val="-20"/>
        <c:axId val="1583926992"/>
        <c:axId val="1583929488"/>
      </c:barChart>
      <c:catAx>
        <c:axId val="15839269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>
                    <a:solidFill>
                      <a:sysClr val="windowText" lastClr="000000"/>
                    </a:solidFill>
                  </a:rPr>
                  <a:t>Период мониторинга</a:t>
                </a:r>
                <a:endParaRPr lang="ru-RU"/>
              </a:p>
            </c:rich>
          </c:tx>
          <c:layout/>
          <c:overlay val="0"/>
          <c:spPr>
            <a:prstGeom prst="rect">
              <a:avLst/>
            </a:prstGeom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 bwMode="auto">
          <a:prstGeom prst="rect">
            <a:avLst/>
          </a:prstGeom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Calibri"/>
                <a:ea typeface="Arial"/>
                <a:cs typeface="Arial"/>
              </a:defRPr>
            </a:pPr>
            <a:endParaRPr lang="ru-RU"/>
          </a:p>
        </c:txPr>
        <c:crossAx val="1583929488"/>
        <c:crosses val="autoZero"/>
        <c:auto val="1"/>
        <c:lblAlgn val="ctr"/>
        <c:lblOffset val="100"/>
        <c:noMultiLvlLbl val="0"/>
      </c:catAx>
      <c:valAx>
        <c:axId val="1583929488"/>
        <c:scaling>
          <c:orientation val="minMax"/>
        </c:scaling>
        <c:delete val="0"/>
        <c:axPos val="l"/>
        <c:majorGridlines>
          <c:spPr bwMode="auto">
            <a:prstGeom prst="rect">
              <a:avLst/>
            </a:prstGeom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>
                    <a:solidFill>
                      <a:sysClr val="windowText" lastClr="000000"/>
                    </a:solidFill>
                  </a:rPr>
                  <a:t>Проценты (%)</a:t>
                </a:r>
                <a:endParaRPr lang="ru-RU"/>
              </a:p>
            </c:rich>
          </c:tx>
          <c:layout/>
          <c:overlay val="0"/>
          <c:spPr>
            <a:prstGeom prst="rect">
              <a:avLst/>
            </a:prstGeom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prstGeom prst="rect">
            <a:avLst/>
          </a:prstGeom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Calibri"/>
                <a:ea typeface="Arial"/>
                <a:cs typeface="Arial"/>
              </a:defRPr>
            </a:pPr>
            <a:endParaRPr lang="ru-RU"/>
          </a:p>
        </c:txPr>
        <c:crossAx val="1583926992"/>
        <c:crosses val="autoZero"/>
        <c:crossBetween val="between"/>
      </c:valAx>
      <c:spPr>
        <a:prstGeom prst="rect">
          <a:avLst/>
        </a:prstGeom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ayout>
        <c:manualLayout>
          <c:xMode val="edge"/>
          <c:yMode val="edge"/>
          <c:x val="2.7074999999999998E-2"/>
          <c:y val="0.77290199999999998"/>
          <c:w val="0.96216100000000004"/>
          <c:h val="0.20749000000000001"/>
        </c:manualLayout>
      </c:layout>
      <c:overlay val="0"/>
      <c:spPr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 bwMode="auto">
    <a:prstGeom prst="rect">
      <a:avLst/>
    </a:prstGeom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300"/>
              <a:t> </a:t>
            </a:r>
            <a:endParaRPr lang="ru-RU" sz="1300" b="1" i="0">
              <a:solidFill>
                <a:schemeClr val="tx1"/>
              </a:solidFill>
              <a:latin typeface="PT Astra Serif"/>
              <a:ea typeface="PT Astra Serif"/>
            </a:endParaRPr>
          </a:p>
        </c:rich>
      </c:tx>
      <c:layout>
        <c:manualLayout>
          <c:xMode val="edge"/>
          <c:yMode val="edge"/>
          <c:x val="0.14177899999999999"/>
          <c:y val="1.2633999999999999E-2"/>
        </c:manualLayout>
      </c:layout>
      <c:overlay val="0"/>
      <c:spPr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муниципальных образований, в которых  Программы комплексного развития социальной инфраструктуры опубликованы на официальных сайтах</c:v>
                </c:pt>
              </c:strCache>
            </c:strRef>
          </c:tx>
          <c:spPr>
            <a:prstGeom prst="rect">
              <a:avLst/>
            </a:prstGeom>
            <a:gradFill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II полугодие 2024 г.</c:v>
                </c:pt>
                <c:pt idx="1">
                  <c:v>I полугодие 2025 г.</c:v>
                </c:pt>
                <c:pt idx="2">
                  <c:v>II полугодие 2025 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72.3</c:v>
                </c:pt>
                <c:pt idx="1">
                  <c:v>77.3</c:v>
                </c:pt>
                <c:pt idx="2">
                  <c:v>80.599999999999994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28-4373-844E-8286F968CB7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муниципальных образований, в которых  Программы комплексного развития социальной инфраструктуры опубликованы во ФГИС ТП</c:v>
                </c:pt>
              </c:strCache>
            </c:strRef>
          </c:tx>
          <c:spPr>
            <a:prstGeom prst="rect">
              <a:avLst/>
            </a:prstGeom>
            <a:gradFill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II полугодие 2024 г.</c:v>
                </c:pt>
                <c:pt idx="1">
                  <c:v>I полугодие 2025 г.</c:v>
                </c:pt>
                <c:pt idx="2">
                  <c:v>II полугодие 2025 г.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51.3</c:v>
                </c:pt>
                <c:pt idx="1">
                  <c:v>59.7</c:v>
                </c:pt>
                <c:pt idx="2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28-4373-844E-8286F968CB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87"/>
        <c:overlap val="-48"/>
        <c:axId val="1583926992"/>
        <c:axId val="1583929488"/>
      </c:barChart>
      <c:catAx>
        <c:axId val="15839269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>
                    <a:solidFill>
                      <a:sysClr val="windowText" lastClr="000000"/>
                    </a:solidFill>
                  </a:rPr>
                  <a:t>Период мониторинга</a:t>
                </a:r>
                <a:endParaRPr lang="ru-RU"/>
              </a:p>
            </c:rich>
          </c:tx>
          <c:layout/>
          <c:overlay val="0"/>
          <c:spPr>
            <a:prstGeom prst="rect">
              <a:avLst/>
            </a:prstGeom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 bwMode="auto">
          <a:prstGeom prst="rect">
            <a:avLst/>
          </a:prstGeom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Calibri"/>
                <a:ea typeface="Arial"/>
                <a:cs typeface="Arial"/>
              </a:defRPr>
            </a:pPr>
            <a:endParaRPr lang="ru-RU"/>
          </a:p>
        </c:txPr>
        <c:crossAx val="1583929488"/>
        <c:crosses val="autoZero"/>
        <c:auto val="1"/>
        <c:lblAlgn val="ctr"/>
        <c:lblOffset val="100"/>
        <c:noMultiLvlLbl val="0"/>
      </c:catAx>
      <c:valAx>
        <c:axId val="1583929488"/>
        <c:scaling>
          <c:orientation val="minMax"/>
        </c:scaling>
        <c:delete val="0"/>
        <c:axPos val="l"/>
        <c:majorGridlines>
          <c:spPr bwMode="auto">
            <a:prstGeom prst="rect">
              <a:avLst/>
            </a:prstGeom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>
                    <a:solidFill>
                      <a:sysClr val="windowText" lastClr="000000"/>
                    </a:solidFill>
                  </a:rPr>
                  <a:t>Проценты (%)</a:t>
                </a:r>
                <a:endParaRPr lang="ru-RU"/>
              </a:p>
            </c:rich>
          </c:tx>
          <c:layout/>
          <c:overlay val="0"/>
          <c:spPr>
            <a:prstGeom prst="rect">
              <a:avLst/>
            </a:prstGeom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prstGeom prst="rect">
            <a:avLst/>
          </a:prstGeom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Calibri"/>
                <a:ea typeface="Arial"/>
                <a:cs typeface="Arial"/>
              </a:defRPr>
            </a:pPr>
            <a:endParaRPr lang="ru-RU"/>
          </a:p>
        </c:txPr>
        <c:crossAx val="1583926992"/>
        <c:crosses val="autoZero"/>
        <c:crossBetween val="between"/>
      </c:valAx>
      <c:spPr>
        <a:prstGeom prst="rect">
          <a:avLst/>
        </a:prstGeom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ayout>
        <c:manualLayout>
          <c:xMode val="edge"/>
          <c:yMode val="edge"/>
          <c:x val="2.7074999999999998E-2"/>
          <c:y val="0.85470199999999996"/>
          <c:w val="0.96216100000000004"/>
          <c:h val="0.14529800000000001"/>
        </c:manualLayout>
      </c:layout>
      <c:overlay val="0"/>
      <c:spPr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 bwMode="auto">
    <a:prstGeom prst="rect">
      <a:avLst/>
    </a:prstGeom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 bwMode="auto">
      <a:prstGeom prst="rect">
        <a:avLst/>
      </a:prstGeom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>
    <cs:lnRef idx="0"/>
    <cs:fillRef idx="0"/>
    <cs:effectRef idx="0"/>
    <cs:fontRef idx="minor">
      <a:schemeClr val="tx2"/>
    </cs:fontRef>
    <cs:spPr bwMode="auto">
      <a:prstGeom prst="rect">
        <a:avLst/>
      </a:prstGeom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 bwMode="auto">
      <a:prstGeom prst="rect">
        <a:avLst/>
      </a:prstGeom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 bwMode="auto">
      <a:prstGeom prst="rect">
        <a:avLst/>
      </a:prstGeom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 bwMode="auto">
      <a:prstGeom prst="rect">
        <a:avLst/>
      </a:prstGeom>
      <a:ln w="9525">
        <a:solidFill>
          <a:schemeClr val="phClr"/>
        </a:solidFill>
        <a:round/>
      </a:ln>
    </cs:spPr>
  </cs:dataPointMarker>
  <cs:dataPointMarkerLayout/>
  <cs:dataPointWireframe>
    <cs:lnRef idx="0">
      <cs:styleClr val="auto"/>
    </cs:lnRef>
    <cs:fillRef idx="3"/>
    <cs:effectRef idx="3"/>
    <cs:fontRef idx="minor">
      <a:schemeClr val="lt1"/>
    </cs:fontRef>
    <cs:spPr bwMode="auto">
      <a:prstGeom prst="rect">
        <a:avLst/>
      </a:prstGeom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 bwMode="auto">
      <a:prstGeom prst="rect">
        <a:avLst/>
      </a:prstGeom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dataTable>
  <cs:downBar>
    <cs:lnRef idx="0"/>
    <cs:fillRef idx="0"/>
    <cs:effectRef idx="0"/>
    <cs:fontRef idx="minor">
      <a:schemeClr val="dk1"/>
    </cs:fontRef>
    <cs:spPr bwMode="auto">
      <a:prstGeom prst="rect">
        <a:avLst/>
      </a:prstGeom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 bwMode="auto">
      <a:prstGeom prst="rect">
        <a:avLst/>
      </a:prstGeom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/>
  </cs:title>
  <cs:trendline>
    <cs:lnRef idx="0">
      <cs:styleClr val="auto"/>
    </cs:lnRef>
    <cs:fillRef idx="0"/>
    <cs:effectRef idx="0"/>
    <cs:fontRef idx="minor">
      <a:schemeClr val="lt1"/>
    </cs:fontRef>
    <cs:spPr bwMode="auto">
      <a:prstGeom prst="rect">
        <a:avLst/>
      </a:prstGeom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 bwMode="auto">
      <a:prstGeom prst="rect">
        <a:avLst/>
      </a:prstGeom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 bwMode="auto">
      <a:prstGeom prst="rect">
        <a:avLst/>
      </a:prstGeom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>
    <cs:lnRef idx="0"/>
    <cs:fillRef idx="0"/>
    <cs:effectRef idx="0"/>
    <cs:fontRef idx="minor">
      <a:schemeClr val="tx2"/>
    </cs:fontRef>
    <cs:spPr bwMode="auto">
      <a:prstGeom prst="rect">
        <a:avLst/>
      </a:prstGeom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 bwMode="auto">
      <a:prstGeom prst="rect">
        <a:avLst/>
      </a:prstGeom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 bwMode="auto">
      <a:prstGeom prst="rect">
        <a:avLst/>
      </a:prstGeom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 bwMode="auto">
      <a:prstGeom prst="rect">
        <a:avLst/>
      </a:prstGeom>
      <a:ln w="9525">
        <a:solidFill>
          <a:schemeClr val="phClr"/>
        </a:solidFill>
        <a:round/>
      </a:ln>
    </cs:spPr>
  </cs:dataPointMarker>
  <cs:dataPointMarkerLayout/>
  <cs:dataPointWireframe>
    <cs:lnRef idx="0">
      <cs:styleClr val="auto"/>
    </cs:lnRef>
    <cs:fillRef idx="3"/>
    <cs:effectRef idx="3"/>
    <cs:fontRef idx="minor">
      <a:schemeClr val="lt1"/>
    </cs:fontRef>
    <cs:spPr bwMode="auto">
      <a:prstGeom prst="rect">
        <a:avLst/>
      </a:prstGeom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 bwMode="auto">
      <a:prstGeom prst="rect">
        <a:avLst/>
      </a:prstGeom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dataTable>
  <cs:downBar>
    <cs:lnRef idx="0"/>
    <cs:fillRef idx="0"/>
    <cs:effectRef idx="0"/>
    <cs:fontRef idx="minor">
      <a:schemeClr val="dk1"/>
    </cs:fontRef>
    <cs:spPr bwMode="auto">
      <a:prstGeom prst="rect">
        <a:avLst/>
      </a:prstGeom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 bwMode="auto">
      <a:prstGeom prst="rect">
        <a:avLst/>
      </a:prstGeom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/>
  </cs:title>
  <cs:trendline>
    <cs:lnRef idx="0">
      <cs:styleClr val="auto"/>
    </cs:lnRef>
    <cs:fillRef idx="0"/>
    <cs:effectRef idx="0"/>
    <cs:fontRef idx="minor">
      <a:schemeClr val="lt1"/>
    </cs:fontRef>
    <cs:spPr bwMode="auto">
      <a:prstGeom prst="rect">
        <a:avLst/>
      </a:prstGeom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 bwMode="auto">
      <a:prstGeom prst="rect">
        <a:avLst/>
      </a:prstGeom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Другая 6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EA92D"/>
      </a:accent1>
      <a:accent2>
        <a:srgbClr val="757070"/>
      </a:accent2>
      <a:accent3>
        <a:srgbClr val="FE3F3F"/>
      </a:accent3>
      <a:accent4>
        <a:srgbClr val="7F7F7F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F21F2-DB0E-4BF7-885A-5B26EEB0D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1490</Words>
  <Characters>8498</Characters>
  <Application>Microsoft Office Word</Application>
  <DocSecurity>0</DocSecurity>
  <Lines>70</Lines>
  <Paragraphs>19</Paragraphs>
  <ScaleCrop>false</ScaleCrop>
  <Company>NPO Computer</Company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DirectumRX. Бланк исходящего письма</dc:title>
  <dc:subject/>
  <dc:creator>Григорьева Елена Валерьевна</dc:creator>
  <cp:keywords/>
  <dc:description/>
  <cp:lastModifiedBy>Григорьева Елена Валерьевна</cp:lastModifiedBy>
  <cp:revision>14</cp:revision>
  <dcterms:created xsi:type="dcterms:W3CDTF">2025-12-04T07:17:00Z</dcterms:created>
  <dcterms:modified xsi:type="dcterms:W3CDTF">2025-12-09T04:13:00Z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Адрес доставки">
    <vt:lpwstr>e2QxZDJhNDUyLTc3MzItNGJhOC1iMTk5LTBhNGRjNzg4OThhYzo0MGU2YTVkMi03ZGY2LTRhYzYtYmM4NS04YzBiNWNkMTM5Zjh9LT57NzgyNzhkZDctZjBkMi00ZTM1LWI1NDMtMTNkMGJkNDYyY2Q2OjRhODI2NGJlLWRmMmMtNDE3NS1iMWYyLTc3NmQzODhlMjA0Mn0=</vt:lpwstr>
  </property>
  <property fmtid="{D5CDD505-2E9C-101B-9397-08002B2CF9AE}" pid="3" name="TPL_Дата входящего письма">
    <vt:lpwstr>e2QxZDJhNDUyLTc3MzItNGJhOC1iMTk5LTBhNGRjNzg4OThhYzo4ZDRhMTM5YS05MWQyLTRmNTYtYTkzNy0zODdhZTE2ZmQ3NWV9LT57OGRkMDA0OTEtOGZkMC00YTdhLTljZjMtOGI2ZGMyZTY0NTVkOmZkNzZlYmRiLWE4MDAtNDZlMC1iNDkxLThlMGUzZmE5OWNhNn0=</vt:lpwstr>
  </property>
  <property fmtid="{D5CDD505-2E9C-101B-9397-08002B2CF9AE}" pid="4" name="TPL_Дата исходящего письма">
    <vt:lpwstr>e2QxZDJhNDUyLTc3MzItNGJhOC1iMTk5LTBhNGRjNzg4OThhYzozZTU1ZjA5MS00MWE0LTRlNTgtYTljNS1kYmU5MDc4MmNjZWN9</vt:lpwstr>
  </property>
  <property fmtid="{D5CDD505-2E9C-101B-9397-08002B2CF9AE}" pid="5" name="TPL_Должность подписывающего">
    <vt:lpwstr>e2QxZDJhNDUyLTc3MzItNGJhOC1iMTk5LTBhNGRjNzg4OThhYzphOGNjNWMyYS1jZjg5LTQ2MTEtYTRmNC01MjQ5NzVhZDZhYmJ9LT57Yjc5MDU1MTYtMmJlNS00OTMxLTk2MWMtY2IzOGQ1Njc3NTY1OmI2MWVlNDk4LWZkYzctNDAwOS04NTdiLTRkNzcwMjBkYWJmOH0=</vt:lpwstr>
  </property>
  <property fmtid="{D5CDD505-2E9C-101B-9397-08002B2CF9AE}" pid="6" name="TPL_И.О. Фамилия подписываюшего">
    <vt:lpwstr>e2QxZDJhNDUyLTc3MzItNGJhOC1iMTk5LTBhNGRjNzg4OThhYzphOGNjNWMyYS1jZjg5LTQ2MTEtYTRmNC01MjQ5NzVhZDZhYmJ9LT5Jbml0aWFsc0FuZExhc3ROYW1l</vt:lpwstr>
  </property>
  <property fmtid="{D5CDD505-2E9C-101B-9397-08002B2CF9AE}" pid="7" name="TPL_ИНН Нашей орг.">
    <vt:lpwstr>e2QxZDJhNDUyLTc3MzItNGJhOC1iMTk5LTBhNGRjNzg4OThhYzplZDlmMWJiMC1kMWNmLTQ2N2UtODA2Ny1hY2E4NTIxMmU0NGR9LT57ZWZmOTU3MjAtMTgxZi00ZjdkLTg5MmQtZGVjMDM0YzdiMmFiOjQxMGJjMmM1LTU4ZjYtNDEwZS04M2I3LTg2MzgxYzdmMTdhNH0=</vt:lpwstr>
  </property>
  <property fmtid="{D5CDD505-2E9C-101B-9397-08002B2CF9AE}" pid="8" name="TPL_КПП Нашей орг.">
    <vt:lpwstr>e2QxZDJhNDUyLTc3MzItNGJhOC1iMTk5LTBhNGRjNzg4OThhYzplZDlmMWJiMC1kMWNmLTQ2N2UtODA2Ny1hY2E4NTIxMmU0NGR9LT57ZWZmOTU3MjAtMTgxZi00ZjdkLTg5MmQtZGVjMDM0YzdiMmFiOjQ1MDNkN2I1LTIwMDUtNGM4My05NmJlLTE2OWFlYTcxZmYzN30=</vt:lpwstr>
  </property>
  <property fmtid="{D5CDD505-2E9C-101B-9397-08002B2CF9AE}" pid="9" name="TPL_Наименование приложений">
    <vt:lpwstr>QWRkZW5kYQ==</vt:lpwstr>
  </property>
  <property fmtid="{D5CDD505-2E9C-101B-9397-08002B2CF9AE}" pid="10" name="TPL_Номер вход. письма">
    <vt:lpwstr>e2QxZDJhNDUyLTc3MzItNGJhOC1iMTk5LTBhNGRjNzg4OThhYzo4ZDRhMTM5YS05MWQyLTRmNTYtYTkzNy0zODdhZTE2ZmQ3NWV9LT57OGRkMDA0OTEtOGZkMC00YTdhLTljZjMtOGI2ZGMyZTY0NTVkOjQ4MTFmZDllLWY1ZDItNGFlYy05MzA0LWRlZGJhYzczYWEzNX0=</vt:lpwstr>
  </property>
  <property fmtid="{D5CDD505-2E9C-101B-9397-08002B2CF9AE}" pid="11" name="TPL_ОГРН Наша орг.">
    <vt:lpwstr>e2QxZDJhNDUyLTc3MzItNGJhOC1iMTk5LTBhNGRjNzg4OThhYzplZDlmMWJiMC1kMWNmLTQ2N2UtODA2Ny1hY2E4NTIxMmU0NGR9LT57ZWZmOTU3MjAtMTgxZi00ZjdkLTg5MmQtZGVjMDM0YzdiMmFiOjc4YjcyN2JiLTU4ZDQtNDg2Mi05Yjc2LTIxZjM0ZWYyYjZjNH0=</vt:lpwstr>
  </property>
  <property fmtid="{D5CDD505-2E9C-101B-9397-08002B2CF9AE}" pid="12" name="TPL_ОКПО Наша орг.">
    <vt:lpwstr>e2QxZDJhNDUyLTc3MzItNGJhOC1iMTk5LTBhNGRjNzg4OThhYzplZDlmMWJiMC1kMWNmLTQ2N2UtODA2Ny1hY2E4NTIxMmU0NGR9LT57ZWZmOTU3MjAtMTgxZi00ZjdkLTg5MmQtZGVjMDM0YzdiMmFiOjM4NGQ4YzFjLWI5NmUtNDIzMS05M2Y0LTQzNmM0MzIwYzg3ZX0=</vt:lpwstr>
  </property>
  <property fmtid="{D5CDD505-2E9C-101B-9397-08002B2CF9AE}" pid="13" name="TPL_Организации: Должность адресата (Д.П.)">
    <vt:lpwstr>e2QxZDJhNDUyLTc3MzItNGJhOC1iMTk5LTBhNGRjNzg4OThhYzpiMDIyYWE5OC1hMTY5LTRjYjItOGMwNi0xYmJjMGQwZTYwN2N9LT57YzhkYWFlZjktYTY3OS00YTI5LWFjMDEtYjkzYzE2MzdjNzJlOjM4NDk3Yzg3LWIwMGYtNGJjNC1iMzI3LWViYjYxMTQ0NWEwMH0tPkRhdGl2ZQ==</vt:lpwstr>
  </property>
  <property fmtid="{D5CDD505-2E9C-101B-9397-08002B2CF9AE}" pid="14" name="TPL_Организации: И.О. Фамилия адресата (Д.П.)">
    <vt:lpwstr>e2QxZDJhNDUyLTc3MzItNGJhOC1iMTk5LTBhNGRjNzg4OThhYzpiMDIyYWE5OC1hMTY5LTRjYjItOGMwNi0xYmJjMGQwZTYwN2N9LT5Jbml0aWFsc0FuZExhc3ROYW1lLT5EYXRpdmU=</vt:lpwstr>
  </property>
  <property fmtid="{D5CDD505-2E9C-101B-9397-08002B2CF9AE}" pid="15" name="TPL_Организация адресата/ФИО Персоны">
    <vt:lpwstr>e2QxZDJhNDUyLTc3MzItNGJhOC1iMTk5LTBhNGRjNzg4OThhYzo0MGU2YTVkMi03ZGY2LTRhYzYtYmM4NS04YzBiNWNkMTM5Zjh9LT57NzgyNzhkZDctZjBkMi00ZTM1LWI1NDMtMTNkMGJkNDYyY2Q2OjJjZjMxNTFmLWIwZjktNGNkYi04MjEzLTYxNDE1YTQ4OGRlM30=</vt:lpwstr>
  </property>
  <property fmtid="{D5CDD505-2E9C-101B-9397-08002B2CF9AE}" pid="16" name="TPL_Отметка об исполнителе">
    <vt:lpwstr>UGVyZm9ybWVyTm90ZXM=</vt:lpwstr>
  </property>
  <property fmtid="{D5CDD505-2E9C-101B-9397-08002B2CF9AE}" pid="17" name="TPL_Почтовый адрес Нашей орг.">
    <vt:lpwstr>e2QxZDJhNDUyLTc3MzItNGJhOC1iMTk5LTBhNGRjNzg4OThhYzplZDlmMWJiMC1kMWNmLTQ2N2UtODA2Ny1hY2E4NTIxMmU0NGR9LT57ZWZmOTU3MjAtMTgxZi00ZjdkLTg5MmQtZGVjMDM0YzdiMmFiOjhkMTZkZWIwLWNhZTAtNDI3OS1hOTE4LWIxYTJiMGVmOGIyZn0=</vt:lpwstr>
  </property>
  <property fmtid="{D5CDD505-2E9C-101B-9397-08002B2CF9AE}" pid="18" name="TPL_Регистрационный номер">
    <vt:lpwstr>e2QxZDJhNDUyLTc3MzItNGJhOC1iMTk5LTBhNGRjNzg4OThhYzoyNjNjZjA2OC1lMjI0LTRhODMtOWRmMC0xOThlODI4MTAxZDF9</vt:lpwstr>
  </property>
  <property fmtid="{D5CDD505-2E9C-101B-9397-08002B2CF9AE}" pid="19" name="TPL_Сайт Нашей орг.">
    <vt:lpwstr>e2QxZDJhNDUyLTc3MzItNGJhOC1iMTk5LTBhNGRjNzg4OThhYzplZDlmMWJiMC1kMWNmLTQ2N2UtODA2Ny1hY2E4NTIxMmU0NGR9LT57ZWZmOTU3MjAtMTgxZi00ZjdkLTg5MmQtZGVjMDM0YzdiMmFiOjQ5NmQzYWVlLTM5MjQtNDNhNC04Y2MxLTNiNzdiMTlhYTIwYn0=</vt:lpwstr>
  </property>
  <property fmtid="{D5CDD505-2E9C-101B-9397-08002B2CF9AE}" pid="20" name="TPL_Содержание письма">
    <vt:lpwstr>e2QxZDJhNDUyLTc3MzItNGJhOC1iMTk5LTBhNGRjNzg4OThhYzo0YmMzOWVmYi0xZjQ2LTRhMWUtOGI4Yy0wNGYyYjkwZDZhOGJ9</vt:lpwstr>
  </property>
  <property fmtid="{D5CDD505-2E9C-101B-9397-08002B2CF9AE}" pid="21" name="TPL_Сокращенное наименование Нашей орг.">
    <vt:lpwstr>e2QxZDJhNDUyLTc3MzItNGJhOC1iMTk5LTBhNGRjNzg4OThhYzplZDlmMWJiMC1kMWNmLTQ2N2UtODA2Ny1hY2E4NTIxMmU0NGR9LT57ZWZmOTU3MjAtMTgxZi00ZjdkLTg5MmQtZGVjMDM0YzdiMmFiOjg2OWQxNzIzLWM1YTktNDEwYy1iN2FhLTczYjFiY2Q5ZTgxMn0=</vt:lpwstr>
  </property>
  <property fmtid="{D5CDD505-2E9C-101B-9397-08002B2CF9AE}" pid="22" name="TPL_Телефоны Нашей орг.">
    <vt:lpwstr>e2QxZDJhNDUyLTc3MzItNGJhOC1iMTk5LTBhNGRjNzg4OThhYzplZDlmMWJiMC1kMWNmLTQ2N2UtODA2Ny1hY2E4NTIxMmU0NGR9LT57ZWZmOTU3MjAtMTgxZi00ZjdkLTg5MmQtZGVjMDM0YzdiMmFiOjY2ZDdhYTEwLTZiZjAtNDFmYS1iOGU3LTlhOTgwMjQ3ZmMxZX0=</vt:lpwstr>
  </property>
  <property fmtid="{D5CDD505-2E9C-101B-9397-08002B2CF9AE}" pid="23" name="TPL_Штрихкод">
    <vt:lpwstr>R2V0QmFyY29kZQ==</vt:lpwstr>
  </property>
  <property fmtid="{D5CDD505-2E9C-101B-9397-08002B2CF9AE}" pid="24" name="TPL_Юридическое наименование Нашей орг.">
    <vt:lpwstr>e2QxZDJhNDUyLTc3MzItNGJhOC1iMTk5LTBhNGRjNzg4OThhYzplZDlmMWJiMC1kMWNmLTQ2N2UtODA2Ny1hY2E4NTIxMmU0NGR9LT57ZWZmOTU3MjAtMTgxZi00ZjdkLTg5MmQtZGVjMDM0YzdiMmFiOjMzNDA1ZmE1LWE0Y2ItNGU2My1hZDA4LThjMmQyM2EzOWViNH0=</vt:lpwstr>
  </property>
</Properties>
</file>